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5102F" w14:textId="77777777" w:rsidR="00567FAF" w:rsidRDefault="00297528" w:rsidP="00297528">
      <w:pPr>
        <w:ind w:left="-1418"/>
        <w:sectPr w:rsidR="00567FAF" w:rsidSect="0084603E">
          <w:footerReference w:type="default" r:id="rId11"/>
          <w:pgSz w:w="11906" w:h="16838"/>
          <w:pgMar w:top="0" w:right="1440" w:bottom="1440" w:left="1440" w:header="0" w:footer="0" w:gutter="0"/>
          <w:cols w:space="708"/>
          <w:docGrid w:linePitch="360"/>
        </w:sectPr>
      </w:pPr>
      <w:r>
        <w:rPr>
          <w:noProof/>
          <w:lang w:eastAsia="zh-TW" w:bidi="hi-IN"/>
        </w:rPr>
        <w:drawing>
          <wp:inline distT="0" distB="0" distL="0" distR="0" wp14:anchorId="72851198" wp14:editId="72851199">
            <wp:extent cx="7537757" cy="1349375"/>
            <wp:effectExtent l="0" t="0" r="6350" b="3175"/>
            <wp:docPr id="1" name="Picture 1" descr="Logo: Australian Government, Department of Communications and the Arts.&#10;http://www.communications.gov.au&#10;http://arts.gov.au&#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2">
                      <a:extLst>
                        <a:ext uri="{28A0092B-C50C-407E-A947-70E740481C1C}">
                          <a14:useLocalDpi xmlns:a14="http://schemas.microsoft.com/office/drawing/2010/main" val="0"/>
                        </a:ext>
                      </a:extLst>
                    </a:blip>
                    <a:stretch>
                      <a:fillRect/>
                    </a:stretch>
                  </pic:blipFill>
                  <pic:spPr>
                    <a:xfrm>
                      <a:off x="0" y="0"/>
                      <a:ext cx="7565339" cy="13543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72851030" w14:textId="287607BA" w:rsidR="00A7176A" w:rsidRDefault="005B5C58" w:rsidP="00C61D2E">
      <w:pPr>
        <w:pStyle w:val="Heading1"/>
      </w:pPr>
      <w:r>
        <w:t>National Relay Service</w:t>
      </w:r>
      <w:bookmarkStart w:id="0" w:name="_GoBack"/>
      <w:bookmarkEnd w:id="0"/>
    </w:p>
    <w:p w14:paraId="72851031" w14:textId="77777777" w:rsidR="00A7176A" w:rsidRPr="005621D9" w:rsidRDefault="005B5C58" w:rsidP="00A7176A">
      <w:pPr>
        <w:pStyle w:val="subtitleofdocument"/>
      </w:pPr>
      <w:r>
        <w:t>Quarterly Performance Report</w:t>
      </w:r>
    </w:p>
    <w:p w14:paraId="72851032" w14:textId="1D116729" w:rsidR="00A7176A" w:rsidRPr="005621D9" w:rsidRDefault="005B5C58" w:rsidP="00A7176A">
      <w:pPr>
        <w:pStyle w:val="Normal-monthyearforcoverpage"/>
      </w:pPr>
      <w:r>
        <w:t xml:space="preserve">Quarter </w:t>
      </w:r>
      <w:r w:rsidR="004D43E6">
        <w:t>1, 2016</w:t>
      </w:r>
      <w:r w:rsidR="009221A3">
        <w:t>–</w:t>
      </w:r>
      <w:r w:rsidR="004D43E6">
        <w:t>2017</w:t>
      </w:r>
    </w:p>
    <w:p w14:paraId="72851033" w14:textId="77777777" w:rsidR="00A7176A" w:rsidRDefault="00A7176A" w:rsidP="00A7176A">
      <w:r>
        <w:br w:type="page"/>
      </w:r>
    </w:p>
    <w:p w14:paraId="72851034" w14:textId="77777777" w:rsidR="005B5C58" w:rsidRPr="005B5C58" w:rsidRDefault="005B5C58" w:rsidP="00AA417D">
      <w:pPr>
        <w:pStyle w:val="Heading2"/>
      </w:pPr>
      <w:r w:rsidRPr="005B5C58">
        <w:lastRenderedPageBreak/>
        <w:t>Background</w:t>
      </w:r>
    </w:p>
    <w:p w14:paraId="100C7F11" w14:textId="12DE95E4" w:rsidR="00A35060" w:rsidRPr="00004BCB" w:rsidRDefault="00A35060" w:rsidP="009221A3">
      <w:r w:rsidRPr="00004BCB">
        <w:t>The NRS providers are required to submit activity and performance data to the Department of Communications and the Arts (</w:t>
      </w:r>
      <w:proofErr w:type="spellStart"/>
      <w:r w:rsidRPr="00004BCB">
        <w:t>DoCA</w:t>
      </w:r>
      <w:proofErr w:type="spellEnd"/>
      <w:r w:rsidRPr="00004BCB">
        <w:t xml:space="preserve">) each quarter. We use these reports to review the </w:t>
      </w:r>
      <w:r w:rsidR="00AF79F3">
        <w:t xml:space="preserve">performance of the NRS providers against agreed service levels and key performance indicators, along with information provided in the data about how </w:t>
      </w:r>
      <w:r w:rsidRPr="00004BCB">
        <w:t>the NRS</w:t>
      </w:r>
      <w:r w:rsidR="00AF79F3">
        <w:t xml:space="preserve"> has been used in the quarter</w:t>
      </w:r>
      <w:r w:rsidRPr="00004BCB">
        <w:t>.</w:t>
      </w:r>
    </w:p>
    <w:p w14:paraId="4B2029DC" w14:textId="77777777" w:rsidR="00A35060" w:rsidRPr="00004BCB" w:rsidRDefault="00A35060" w:rsidP="009221A3">
      <w:proofErr w:type="spellStart"/>
      <w:r w:rsidRPr="00004BCB">
        <w:t>DoCA</w:t>
      </w:r>
      <w:proofErr w:type="spellEnd"/>
      <w:r w:rsidRPr="00004BCB">
        <w:t xml:space="preserve"> reports on:</w:t>
      </w:r>
    </w:p>
    <w:p w14:paraId="2BF2C4C6" w14:textId="4167E8CE" w:rsidR="00A35060" w:rsidRPr="00004BCB" w:rsidRDefault="00A35060" w:rsidP="009221A3">
      <w:pPr>
        <w:pStyle w:val="Bulletlevel1"/>
      </w:pPr>
      <w:r w:rsidRPr="00004BCB">
        <w:t>the cost of deliveri</w:t>
      </w:r>
      <w:r w:rsidR="009221A3">
        <w:t>ng the NRS on a quarterly basis</w:t>
      </w:r>
    </w:p>
    <w:p w14:paraId="1B73B055" w14:textId="202FFEC8" w:rsidR="00A35060" w:rsidRPr="00004BCB" w:rsidRDefault="00A35060" w:rsidP="009221A3">
      <w:pPr>
        <w:pStyle w:val="Bulletlevel1"/>
      </w:pPr>
      <w:r w:rsidRPr="00004BCB">
        <w:t xml:space="preserve">the performance of the NRS providers against </w:t>
      </w:r>
      <w:r w:rsidR="00AF79F3">
        <w:t xml:space="preserve">agreed </w:t>
      </w:r>
      <w:r w:rsidRPr="00004BCB">
        <w:t>service levels and key performance indicators</w:t>
      </w:r>
      <w:r w:rsidR="00AF79F3">
        <w:t xml:space="preserve"> for the relevant financial year</w:t>
      </w:r>
      <w:r w:rsidR="009221A3">
        <w:t>,</w:t>
      </w:r>
      <w:r w:rsidRPr="00004BCB">
        <w:t xml:space="preserve"> and</w:t>
      </w:r>
    </w:p>
    <w:p w14:paraId="40405C89" w14:textId="7537D503" w:rsidR="00A35060" w:rsidRPr="00004BCB" w:rsidRDefault="00A35060" w:rsidP="009221A3">
      <w:pPr>
        <w:pStyle w:val="Bulletlevel1"/>
      </w:pPr>
      <w:r w:rsidRPr="00004BCB">
        <w:t xml:space="preserve">information on how the NRS is used, including </w:t>
      </w:r>
      <w:r w:rsidR="000C5097">
        <w:t xml:space="preserve">the number of successful </w:t>
      </w:r>
      <w:r w:rsidRPr="00004BCB">
        <w:t xml:space="preserve">inbound </w:t>
      </w:r>
      <w:r w:rsidR="000C5097">
        <w:t xml:space="preserve">connections, the volume of </w:t>
      </w:r>
      <w:r w:rsidRPr="00004BCB">
        <w:t xml:space="preserve">outbound call </w:t>
      </w:r>
      <w:r w:rsidR="000C5097">
        <w:t>minutes generated by each service access option,</w:t>
      </w:r>
      <w:r w:rsidR="009221A3">
        <w:t xml:space="preserve"> </w:t>
      </w:r>
      <w:r w:rsidR="000C5097">
        <w:t xml:space="preserve">the number of calls to emergency services </w:t>
      </w:r>
      <w:r w:rsidRPr="00004BCB">
        <w:t xml:space="preserve">and the </w:t>
      </w:r>
      <w:r w:rsidR="001E092A">
        <w:t>volume of different types of contact with the NRS helpdesk.</w:t>
      </w:r>
    </w:p>
    <w:p w14:paraId="02614AE7" w14:textId="2F7830BD" w:rsidR="00A35060" w:rsidRPr="00004BCB" w:rsidRDefault="00A35060" w:rsidP="009221A3">
      <w:r w:rsidRPr="00004BCB">
        <w:t xml:space="preserve">This </w:t>
      </w:r>
      <w:r w:rsidR="009049EB">
        <w:t xml:space="preserve">quarterly report </w:t>
      </w:r>
      <w:r w:rsidRPr="00004BCB">
        <w:t xml:space="preserve">provides </w:t>
      </w:r>
      <w:r w:rsidR="009049EB">
        <w:t xml:space="preserve">regular </w:t>
      </w:r>
      <w:r w:rsidRPr="00004BCB">
        <w:t>transparency of ongoing costs</w:t>
      </w:r>
      <w:r w:rsidR="00745588">
        <w:t xml:space="preserve"> and </w:t>
      </w:r>
      <w:r w:rsidR="009049EB" w:rsidRPr="00004BCB">
        <w:t xml:space="preserve">the NRS providers' </w:t>
      </w:r>
      <w:r w:rsidR="00745588">
        <w:t>performance</w:t>
      </w:r>
      <w:r w:rsidRPr="00004BCB">
        <w:t xml:space="preserve"> in delivering the NRS.</w:t>
      </w:r>
      <w:bookmarkStart w:id="1" w:name="nrs_plans"/>
      <w:bookmarkEnd w:id="1"/>
    </w:p>
    <w:p w14:paraId="7285103B" w14:textId="77777777" w:rsidR="005B5C58" w:rsidRPr="005B5C58" w:rsidRDefault="005B5C58" w:rsidP="00AA417D">
      <w:pPr>
        <w:pStyle w:val="Heading2"/>
      </w:pPr>
      <w:r w:rsidRPr="005B5C58">
        <w:t>Cost of delivering the NRS</w:t>
      </w:r>
    </w:p>
    <w:p w14:paraId="5B6F3B3B" w14:textId="1B0728DB" w:rsidR="00A35060" w:rsidRPr="00004BCB" w:rsidRDefault="00A35060" w:rsidP="009221A3">
      <w:r w:rsidRPr="00004BCB">
        <w:t xml:space="preserve">The annual cost of delivering the NRS varies, as the relay service component is </w:t>
      </w:r>
      <w:r w:rsidR="00B07599">
        <w:t xml:space="preserve">affected by </w:t>
      </w:r>
      <w:r w:rsidRPr="00004BCB">
        <w:t>the number of call minutes relayed during the financial year. The cost of providing the NRS is funded from the telecommunications industry levy paid by eligib</w:t>
      </w:r>
      <w:r w:rsidR="009221A3">
        <w:t>le telecommunications carriers.</w:t>
      </w:r>
    </w:p>
    <w:p w14:paraId="1BFA02E0" w14:textId="12522A92" w:rsidR="00A35060" w:rsidRPr="00004BCB" w:rsidRDefault="00A35060" w:rsidP="009221A3">
      <w:r w:rsidRPr="00004BCB">
        <w:t>The cost (GST-inclusive) of providing the NRS in Quarters 1</w:t>
      </w:r>
      <w:r w:rsidR="009221A3">
        <w:t>–</w:t>
      </w:r>
      <w:r w:rsidRPr="00004BCB">
        <w:t>4, 201</w:t>
      </w:r>
      <w:r w:rsidR="00B07599">
        <w:t>6</w:t>
      </w:r>
      <w:r w:rsidR="009221A3">
        <w:t>–</w:t>
      </w:r>
      <w:r w:rsidRPr="00004BCB">
        <w:t>1</w:t>
      </w:r>
      <w:r w:rsidR="00B07599">
        <w:t>7</w:t>
      </w:r>
      <w:r w:rsidRPr="00004BCB">
        <w:t xml:space="preserve"> is outlined in the table below:</w:t>
      </w:r>
    </w:p>
    <w:p w14:paraId="7285103E" w14:textId="59E9DB18" w:rsidR="005B5C58" w:rsidRPr="00E541EC" w:rsidRDefault="00333144" w:rsidP="00E541EC">
      <w:pPr>
        <w:pStyle w:val="Tablefigureheading"/>
      </w:pPr>
      <w:r>
        <w:t xml:space="preserve">Table 1. </w:t>
      </w:r>
      <w:r w:rsidR="009221A3">
        <w:t>Cost of delivering the NRS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1. Cost of delivering the NRS"/>
      </w:tblPr>
      <w:tblGrid>
        <w:gridCol w:w="2043"/>
        <w:gridCol w:w="1501"/>
        <w:gridCol w:w="1276"/>
        <w:gridCol w:w="1417"/>
        <w:gridCol w:w="1559"/>
        <w:gridCol w:w="1251"/>
      </w:tblGrid>
      <w:tr w:rsidR="00FA4A47" w:rsidRPr="00D24D05" w14:paraId="31D8F65C" w14:textId="77777777" w:rsidTr="00FA4A47">
        <w:trPr>
          <w:cantSplit/>
          <w:tblHeader/>
        </w:trPr>
        <w:tc>
          <w:tcPr>
            <w:tcW w:w="2043" w:type="dxa"/>
            <w:tcBorders>
              <w:bottom w:val="single" w:sz="4" w:space="0" w:color="auto"/>
            </w:tcBorders>
            <w:shd w:val="clear" w:color="auto" w:fill="D6F2FA"/>
            <w:vAlign w:val="center"/>
          </w:tcPr>
          <w:p w14:paraId="5C243C25" w14:textId="153EDE63" w:rsidR="00FA4A47" w:rsidRPr="00D24D05" w:rsidRDefault="00FA4A47" w:rsidP="00FA4A47">
            <w:pPr>
              <w:pStyle w:val="Tableheading"/>
              <w:jc w:val="center"/>
            </w:pPr>
          </w:p>
        </w:tc>
        <w:tc>
          <w:tcPr>
            <w:tcW w:w="1501" w:type="dxa"/>
            <w:tcBorders>
              <w:bottom w:val="single" w:sz="4" w:space="0" w:color="auto"/>
            </w:tcBorders>
            <w:shd w:val="clear" w:color="auto" w:fill="D6F2FA"/>
            <w:vAlign w:val="center"/>
          </w:tcPr>
          <w:p w14:paraId="752438D8" w14:textId="27E64B17" w:rsidR="00FA4A47" w:rsidRPr="00D24D05" w:rsidRDefault="00FA4A47" w:rsidP="00FA4A47">
            <w:pPr>
              <w:pStyle w:val="Tableheading"/>
              <w:jc w:val="center"/>
            </w:pPr>
            <w:r>
              <w:t>Quarter 1</w:t>
            </w:r>
          </w:p>
        </w:tc>
        <w:tc>
          <w:tcPr>
            <w:tcW w:w="1276" w:type="dxa"/>
            <w:tcBorders>
              <w:bottom w:val="single" w:sz="4" w:space="0" w:color="auto"/>
            </w:tcBorders>
            <w:shd w:val="clear" w:color="auto" w:fill="D6F2FA"/>
            <w:vAlign w:val="center"/>
          </w:tcPr>
          <w:p w14:paraId="42425BF8" w14:textId="48DB8400" w:rsidR="00FA4A47" w:rsidRDefault="00FA4A47" w:rsidP="00FA4A47">
            <w:pPr>
              <w:pStyle w:val="Tableheadingcentred"/>
            </w:pPr>
            <w:r>
              <w:t>Quarter 2</w:t>
            </w:r>
          </w:p>
        </w:tc>
        <w:tc>
          <w:tcPr>
            <w:tcW w:w="1417" w:type="dxa"/>
            <w:tcBorders>
              <w:bottom w:val="single" w:sz="4" w:space="0" w:color="auto"/>
            </w:tcBorders>
            <w:shd w:val="clear" w:color="auto" w:fill="D6F2FA"/>
            <w:vAlign w:val="center"/>
          </w:tcPr>
          <w:p w14:paraId="720F6578" w14:textId="09062DE5" w:rsidR="00FA4A47" w:rsidRDefault="00FA4A47" w:rsidP="00FA4A47">
            <w:pPr>
              <w:pStyle w:val="Tableheadingcentred"/>
            </w:pPr>
            <w:r>
              <w:t>Quarter 3</w:t>
            </w:r>
          </w:p>
        </w:tc>
        <w:tc>
          <w:tcPr>
            <w:tcW w:w="1559" w:type="dxa"/>
            <w:tcBorders>
              <w:bottom w:val="single" w:sz="4" w:space="0" w:color="auto"/>
            </w:tcBorders>
            <w:shd w:val="clear" w:color="auto" w:fill="D6F2FA"/>
            <w:vAlign w:val="center"/>
          </w:tcPr>
          <w:p w14:paraId="09A5BBC5" w14:textId="2C304E74" w:rsidR="00FA4A47" w:rsidRPr="00D24D05" w:rsidRDefault="00FA4A47" w:rsidP="00FA4A47">
            <w:pPr>
              <w:pStyle w:val="Tableheadingcentred"/>
            </w:pPr>
            <w:r>
              <w:t>Quarter 4</w:t>
            </w:r>
          </w:p>
        </w:tc>
        <w:tc>
          <w:tcPr>
            <w:tcW w:w="1251" w:type="dxa"/>
            <w:tcBorders>
              <w:bottom w:val="single" w:sz="4" w:space="0" w:color="auto"/>
            </w:tcBorders>
            <w:shd w:val="clear" w:color="auto" w:fill="D6F2FA"/>
            <w:vAlign w:val="center"/>
          </w:tcPr>
          <w:p w14:paraId="36212D70" w14:textId="543E77C1" w:rsidR="00FA4A47" w:rsidRPr="00D24D05" w:rsidRDefault="00FA4A47" w:rsidP="00FA4A47">
            <w:pPr>
              <w:pStyle w:val="Tableheadingcentred"/>
            </w:pPr>
            <w:r>
              <w:t>Total YTD</w:t>
            </w:r>
          </w:p>
        </w:tc>
      </w:tr>
      <w:tr w:rsidR="00FA4A47" w14:paraId="1525EC72" w14:textId="77777777" w:rsidTr="00FA4A47">
        <w:trPr>
          <w:cantSplit/>
        </w:trPr>
        <w:tc>
          <w:tcPr>
            <w:tcW w:w="2043" w:type="dxa"/>
            <w:tcBorders>
              <w:top w:val="single" w:sz="4" w:space="0" w:color="auto"/>
              <w:bottom w:val="single" w:sz="4" w:space="0" w:color="auto"/>
            </w:tcBorders>
            <w:vAlign w:val="center"/>
          </w:tcPr>
          <w:p w14:paraId="6B6FE4A3" w14:textId="24B77B58" w:rsidR="00FA4A47" w:rsidRDefault="00FA4A47" w:rsidP="00FA4A47">
            <w:pPr>
              <w:spacing w:after="0"/>
            </w:pPr>
            <w:r w:rsidRPr="00A35060">
              <w:t>Relay service</w:t>
            </w:r>
          </w:p>
        </w:tc>
        <w:tc>
          <w:tcPr>
            <w:tcW w:w="1501" w:type="dxa"/>
            <w:tcBorders>
              <w:top w:val="single" w:sz="4" w:space="0" w:color="auto"/>
              <w:bottom w:val="single" w:sz="4" w:space="0" w:color="auto"/>
            </w:tcBorders>
            <w:vAlign w:val="center"/>
          </w:tcPr>
          <w:p w14:paraId="3EA32A6A" w14:textId="2E03B344" w:rsidR="00FA4A47" w:rsidRDefault="00FA4A47" w:rsidP="00FA4A47">
            <w:pPr>
              <w:spacing w:after="0"/>
              <w:jc w:val="center"/>
            </w:pPr>
            <w:r w:rsidRPr="00513188">
              <w:t>$</w:t>
            </w:r>
            <w:r>
              <w:t>6,716,170</w:t>
            </w:r>
          </w:p>
        </w:tc>
        <w:tc>
          <w:tcPr>
            <w:tcW w:w="1276" w:type="dxa"/>
            <w:tcBorders>
              <w:top w:val="single" w:sz="4" w:space="0" w:color="auto"/>
              <w:bottom w:val="single" w:sz="4" w:space="0" w:color="auto"/>
            </w:tcBorders>
            <w:vAlign w:val="center"/>
          </w:tcPr>
          <w:p w14:paraId="4E4D4C91" w14:textId="77777777" w:rsidR="00FA4A47" w:rsidRDefault="00FA4A47" w:rsidP="00FA4A47">
            <w:pPr>
              <w:pStyle w:val="Tabletextcentred"/>
            </w:pPr>
          </w:p>
        </w:tc>
        <w:tc>
          <w:tcPr>
            <w:tcW w:w="1417" w:type="dxa"/>
            <w:tcBorders>
              <w:top w:val="single" w:sz="4" w:space="0" w:color="auto"/>
              <w:bottom w:val="single" w:sz="4" w:space="0" w:color="auto"/>
            </w:tcBorders>
            <w:vAlign w:val="center"/>
          </w:tcPr>
          <w:p w14:paraId="562A9649" w14:textId="77777777" w:rsidR="00FA4A47" w:rsidRDefault="00FA4A47" w:rsidP="00FA4A47">
            <w:pPr>
              <w:pStyle w:val="Tabletextcentred"/>
            </w:pPr>
          </w:p>
        </w:tc>
        <w:tc>
          <w:tcPr>
            <w:tcW w:w="1559" w:type="dxa"/>
            <w:tcBorders>
              <w:top w:val="single" w:sz="4" w:space="0" w:color="auto"/>
              <w:bottom w:val="single" w:sz="4" w:space="0" w:color="auto"/>
            </w:tcBorders>
            <w:vAlign w:val="center"/>
          </w:tcPr>
          <w:p w14:paraId="149EFF40" w14:textId="53B4B257" w:rsidR="00FA4A47" w:rsidRDefault="00FA4A47" w:rsidP="00FA4A47">
            <w:pPr>
              <w:pStyle w:val="Tabletextcentred"/>
            </w:pPr>
          </w:p>
        </w:tc>
        <w:tc>
          <w:tcPr>
            <w:tcW w:w="1251" w:type="dxa"/>
            <w:tcBorders>
              <w:top w:val="single" w:sz="4" w:space="0" w:color="auto"/>
              <w:bottom w:val="single" w:sz="4" w:space="0" w:color="auto"/>
            </w:tcBorders>
            <w:vAlign w:val="center"/>
          </w:tcPr>
          <w:p w14:paraId="32B2EC74" w14:textId="5F00F871" w:rsidR="00FA4A47" w:rsidRDefault="00FA4A47" w:rsidP="00FA4A47">
            <w:pPr>
              <w:pStyle w:val="Tabletextcentred"/>
            </w:pPr>
            <w:r w:rsidRPr="00513188">
              <w:t>$</w:t>
            </w:r>
            <w:r>
              <w:t>6,716,170</w:t>
            </w:r>
          </w:p>
        </w:tc>
      </w:tr>
      <w:tr w:rsidR="00FA4A47" w14:paraId="7BFB06AC" w14:textId="77777777" w:rsidTr="00FA4A47">
        <w:trPr>
          <w:cantSplit/>
        </w:trPr>
        <w:tc>
          <w:tcPr>
            <w:tcW w:w="2043" w:type="dxa"/>
            <w:tcBorders>
              <w:top w:val="single" w:sz="4" w:space="0" w:color="auto"/>
              <w:bottom w:val="single" w:sz="4" w:space="0" w:color="auto"/>
            </w:tcBorders>
            <w:vAlign w:val="center"/>
          </w:tcPr>
          <w:p w14:paraId="6AEC7DC5" w14:textId="4347DE7E" w:rsidR="00FA4A47" w:rsidRDefault="00FA4A47" w:rsidP="00FA4A47">
            <w:pPr>
              <w:spacing w:after="0"/>
            </w:pPr>
            <w:r w:rsidRPr="00A35060">
              <w:t>Outreach service</w:t>
            </w:r>
          </w:p>
        </w:tc>
        <w:tc>
          <w:tcPr>
            <w:tcW w:w="1501" w:type="dxa"/>
            <w:tcBorders>
              <w:top w:val="single" w:sz="4" w:space="0" w:color="auto"/>
              <w:bottom w:val="single" w:sz="4" w:space="0" w:color="auto"/>
            </w:tcBorders>
            <w:vAlign w:val="center"/>
          </w:tcPr>
          <w:p w14:paraId="0DA1DCCA" w14:textId="372F60A4" w:rsidR="00FA4A47" w:rsidRDefault="00FA4A47" w:rsidP="00FA4A47">
            <w:pPr>
              <w:spacing w:after="0"/>
              <w:jc w:val="center"/>
            </w:pPr>
            <w:r w:rsidRPr="00513188">
              <w:t>$1,0</w:t>
            </w:r>
            <w:r>
              <w:t>6</w:t>
            </w:r>
            <w:r w:rsidRPr="00513188">
              <w:t>7,</w:t>
            </w:r>
            <w:r>
              <w:t>452</w:t>
            </w:r>
          </w:p>
        </w:tc>
        <w:tc>
          <w:tcPr>
            <w:tcW w:w="1276" w:type="dxa"/>
            <w:tcBorders>
              <w:top w:val="single" w:sz="4" w:space="0" w:color="auto"/>
              <w:bottom w:val="single" w:sz="4" w:space="0" w:color="auto"/>
            </w:tcBorders>
            <w:vAlign w:val="center"/>
          </w:tcPr>
          <w:p w14:paraId="5C129FFB" w14:textId="77777777" w:rsidR="00FA4A47" w:rsidRDefault="00FA4A47" w:rsidP="00FA4A47">
            <w:pPr>
              <w:pStyle w:val="Tabletextcentred"/>
            </w:pPr>
          </w:p>
        </w:tc>
        <w:tc>
          <w:tcPr>
            <w:tcW w:w="1417" w:type="dxa"/>
            <w:tcBorders>
              <w:top w:val="single" w:sz="4" w:space="0" w:color="auto"/>
              <w:bottom w:val="single" w:sz="4" w:space="0" w:color="auto"/>
            </w:tcBorders>
            <w:vAlign w:val="center"/>
          </w:tcPr>
          <w:p w14:paraId="7E2D947A" w14:textId="77777777" w:rsidR="00FA4A47" w:rsidRDefault="00FA4A47" w:rsidP="00FA4A47">
            <w:pPr>
              <w:pStyle w:val="Tabletextcentred"/>
            </w:pPr>
          </w:p>
        </w:tc>
        <w:tc>
          <w:tcPr>
            <w:tcW w:w="1559" w:type="dxa"/>
            <w:tcBorders>
              <w:top w:val="single" w:sz="4" w:space="0" w:color="auto"/>
              <w:bottom w:val="single" w:sz="4" w:space="0" w:color="auto"/>
            </w:tcBorders>
            <w:vAlign w:val="center"/>
          </w:tcPr>
          <w:p w14:paraId="159FEC5B" w14:textId="3AD450D3" w:rsidR="00FA4A47" w:rsidRDefault="00FA4A47" w:rsidP="00FA4A47">
            <w:pPr>
              <w:pStyle w:val="Tabletextcentred"/>
            </w:pPr>
          </w:p>
        </w:tc>
        <w:tc>
          <w:tcPr>
            <w:tcW w:w="1251" w:type="dxa"/>
            <w:tcBorders>
              <w:top w:val="single" w:sz="4" w:space="0" w:color="auto"/>
              <w:bottom w:val="single" w:sz="4" w:space="0" w:color="auto"/>
            </w:tcBorders>
            <w:vAlign w:val="center"/>
          </w:tcPr>
          <w:p w14:paraId="333B10AA" w14:textId="2F9B3764" w:rsidR="00FA4A47" w:rsidRDefault="00FA4A47" w:rsidP="00FA4A47">
            <w:pPr>
              <w:pStyle w:val="Tabletextcentred"/>
            </w:pPr>
            <w:r w:rsidRPr="00513188">
              <w:t>$</w:t>
            </w:r>
            <w:r>
              <w:t>1,067,452</w:t>
            </w:r>
          </w:p>
        </w:tc>
      </w:tr>
      <w:tr w:rsidR="00FA4A47" w14:paraId="1955F6A3" w14:textId="77777777" w:rsidTr="00FA4A47">
        <w:trPr>
          <w:cantSplit/>
        </w:trPr>
        <w:tc>
          <w:tcPr>
            <w:tcW w:w="2043" w:type="dxa"/>
            <w:tcBorders>
              <w:top w:val="single" w:sz="4" w:space="0" w:color="auto"/>
              <w:bottom w:val="single" w:sz="6" w:space="0" w:color="auto"/>
            </w:tcBorders>
            <w:vAlign w:val="center"/>
          </w:tcPr>
          <w:p w14:paraId="59B1CC29" w14:textId="11E39D0A" w:rsidR="00FA4A47" w:rsidRPr="00A35060" w:rsidRDefault="00FA4A47" w:rsidP="00FA4A47">
            <w:pPr>
              <w:spacing w:after="0"/>
            </w:pPr>
            <w:r w:rsidRPr="00A35060">
              <w:t>Total</w:t>
            </w:r>
          </w:p>
        </w:tc>
        <w:tc>
          <w:tcPr>
            <w:tcW w:w="1501" w:type="dxa"/>
            <w:tcBorders>
              <w:top w:val="single" w:sz="4" w:space="0" w:color="auto"/>
              <w:bottom w:val="single" w:sz="6" w:space="0" w:color="auto"/>
            </w:tcBorders>
            <w:vAlign w:val="center"/>
          </w:tcPr>
          <w:p w14:paraId="14F21711" w14:textId="640C4998" w:rsidR="00FA4A47" w:rsidRPr="00513188" w:rsidRDefault="00FA4A47" w:rsidP="00FA4A47">
            <w:pPr>
              <w:spacing w:after="0"/>
              <w:jc w:val="center"/>
            </w:pPr>
            <w:r w:rsidRPr="00A35060">
              <w:t>$</w:t>
            </w:r>
            <w:r>
              <w:t>7,783,622</w:t>
            </w:r>
          </w:p>
        </w:tc>
        <w:tc>
          <w:tcPr>
            <w:tcW w:w="1276" w:type="dxa"/>
            <w:tcBorders>
              <w:top w:val="single" w:sz="4" w:space="0" w:color="auto"/>
              <w:bottom w:val="single" w:sz="6" w:space="0" w:color="auto"/>
            </w:tcBorders>
            <w:vAlign w:val="center"/>
          </w:tcPr>
          <w:p w14:paraId="266B964F" w14:textId="77777777" w:rsidR="00FA4A47" w:rsidRDefault="00FA4A47" w:rsidP="00FA4A47">
            <w:pPr>
              <w:pStyle w:val="Tabletextcentred"/>
            </w:pPr>
          </w:p>
        </w:tc>
        <w:tc>
          <w:tcPr>
            <w:tcW w:w="1417" w:type="dxa"/>
            <w:tcBorders>
              <w:top w:val="single" w:sz="4" w:space="0" w:color="auto"/>
              <w:bottom w:val="single" w:sz="6" w:space="0" w:color="auto"/>
            </w:tcBorders>
            <w:vAlign w:val="center"/>
          </w:tcPr>
          <w:p w14:paraId="087211D8" w14:textId="77777777" w:rsidR="00FA4A47" w:rsidRDefault="00FA4A47" w:rsidP="00FA4A47">
            <w:pPr>
              <w:pStyle w:val="Tabletextcentred"/>
            </w:pPr>
          </w:p>
        </w:tc>
        <w:tc>
          <w:tcPr>
            <w:tcW w:w="1559" w:type="dxa"/>
            <w:tcBorders>
              <w:top w:val="single" w:sz="4" w:space="0" w:color="auto"/>
              <w:bottom w:val="single" w:sz="6" w:space="0" w:color="auto"/>
            </w:tcBorders>
            <w:vAlign w:val="center"/>
          </w:tcPr>
          <w:p w14:paraId="1B234757" w14:textId="77777777" w:rsidR="00FA4A47" w:rsidRDefault="00FA4A47" w:rsidP="00FA4A47">
            <w:pPr>
              <w:pStyle w:val="Tabletextcentred"/>
            </w:pPr>
          </w:p>
        </w:tc>
        <w:tc>
          <w:tcPr>
            <w:tcW w:w="1251" w:type="dxa"/>
            <w:tcBorders>
              <w:top w:val="single" w:sz="4" w:space="0" w:color="auto"/>
              <w:bottom w:val="single" w:sz="6" w:space="0" w:color="auto"/>
            </w:tcBorders>
            <w:vAlign w:val="center"/>
          </w:tcPr>
          <w:p w14:paraId="33748D1A" w14:textId="46703891" w:rsidR="00FA4A47" w:rsidRPr="00513188" w:rsidRDefault="00FA4A47" w:rsidP="00FA4A47">
            <w:pPr>
              <w:pStyle w:val="Tabletextcentred"/>
            </w:pPr>
            <w:r w:rsidRPr="00A35060">
              <w:t>$</w:t>
            </w:r>
            <w:r>
              <w:t>7,783,622</w:t>
            </w:r>
          </w:p>
        </w:tc>
      </w:tr>
    </w:tbl>
    <w:p w14:paraId="2453FAE5" w14:textId="77777777" w:rsidR="00774F8D" w:rsidRDefault="00774F8D" w:rsidP="00774F8D">
      <w:pPr>
        <w:spacing w:after="0"/>
      </w:pPr>
    </w:p>
    <w:p w14:paraId="7285105C" w14:textId="4A6DAC90" w:rsidR="005B5C58" w:rsidRPr="003D09F1" w:rsidRDefault="005B5C58" w:rsidP="00AA417D">
      <w:pPr>
        <w:pStyle w:val="Heading2"/>
      </w:pPr>
      <w:r w:rsidRPr="003D09F1">
        <w:t>Service level perf</w:t>
      </w:r>
      <w:r w:rsidR="009221A3">
        <w:t>ormance: relay service provider</w:t>
      </w:r>
    </w:p>
    <w:p w14:paraId="17FF44C6" w14:textId="0B61885D" w:rsidR="00A35060" w:rsidRPr="00513188" w:rsidRDefault="00A35060" w:rsidP="009221A3">
      <w:r w:rsidRPr="00513188">
        <w:t xml:space="preserve">The relay service provider’s </w:t>
      </w:r>
      <w:r w:rsidR="004F3ABB">
        <w:t xml:space="preserve">performance in </w:t>
      </w:r>
      <w:r w:rsidR="009221A3">
        <w:t>2016–17</w:t>
      </w:r>
      <w:r w:rsidR="004F3ABB">
        <w:t xml:space="preserve"> </w:t>
      </w:r>
      <w:r w:rsidR="00272104">
        <w:t>is</w:t>
      </w:r>
      <w:r w:rsidRPr="00513188">
        <w:t xml:space="preserve"> measured monthly against the following service levels:</w:t>
      </w:r>
    </w:p>
    <w:p w14:paraId="4FC4C5B7" w14:textId="11CAAE68" w:rsidR="00A35060" w:rsidRPr="00513188" w:rsidRDefault="00A35060" w:rsidP="009221A3">
      <w:pPr>
        <w:pStyle w:val="Bulletlevel1"/>
      </w:pPr>
      <w:r w:rsidRPr="00A35060">
        <w:rPr>
          <w:b/>
        </w:rPr>
        <w:t>Service level 1 (a):</w:t>
      </w:r>
      <w:r w:rsidRPr="00513188">
        <w:t xml:space="preserve"> at least 85 per cent of calls are answered by a call taker within five seconds of reaching the relevant answering point for the call</w:t>
      </w:r>
      <w:r w:rsidR="0010018F">
        <w:t>.</w:t>
      </w:r>
    </w:p>
    <w:p w14:paraId="4AE1DD17" w14:textId="279178E4" w:rsidR="00A35060" w:rsidRPr="00513188" w:rsidRDefault="00A35060" w:rsidP="009221A3">
      <w:pPr>
        <w:pStyle w:val="Bulletlevel1"/>
      </w:pPr>
      <w:r w:rsidRPr="00A35060">
        <w:rPr>
          <w:b/>
        </w:rPr>
        <w:t>Service level 1 (b):</w:t>
      </w:r>
      <w:r w:rsidRPr="00513188">
        <w:t xml:space="preserve"> at least 95 per cent of calls are answered by a call taker within 10 seconds of reaching the relevant answering point for the call</w:t>
      </w:r>
      <w:r w:rsidR="0010018F">
        <w:t>.</w:t>
      </w:r>
    </w:p>
    <w:p w14:paraId="55EB8C80" w14:textId="12D783A5" w:rsidR="00A35060" w:rsidRPr="00513188" w:rsidRDefault="00A35060" w:rsidP="009221A3">
      <w:pPr>
        <w:pStyle w:val="Bulletlevel1"/>
      </w:pPr>
      <w:r w:rsidRPr="00A35060">
        <w:rPr>
          <w:b/>
        </w:rPr>
        <w:t>Service level 2:</w:t>
      </w:r>
      <w:r w:rsidRPr="00513188">
        <w:t xml:space="preserve"> n</w:t>
      </w:r>
      <w:r w:rsidRPr="00513188">
        <w:rPr>
          <w:rFonts w:eastAsiaTheme="minorEastAsia"/>
          <w:snapToGrid w:val="0"/>
          <w:lang w:val="en-US"/>
        </w:rPr>
        <w:t>o more than two per cent of calls abandoned after leaving the Interactive Voice Response (IVR) or being presented to the call routing queue (monthly average)</w:t>
      </w:r>
      <w:r w:rsidR="0010018F">
        <w:rPr>
          <w:rFonts w:eastAsiaTheme="minorEastAsia"/>
          <w:snapToGrid w:val="0"/>
          <w:lang w:val="en-US"/>
        </w:rPr>
        <w:t>.</w:t>
      </w:r>
    </w:p>
    <w:p w14:paraId="4879FFD6" w14:textId="77777777" w:rsidR="00A35060" w:rsidRPr="00513188" w:rsidRDefault="00A35060" w:rsidP="009221A3">
      <w:pPr>
        <w:pStyle w:val="Bulletlevel1"/>
      </w:pPr>
      <w:r w:rsidRPr="00A35060">
        <w:rPr>
          <w:b/>
        </w:rPr>
        <w:t>Service level 3:</w:t>
      </w:r>
      <w:r w:rsidRPr="00513188">
        <w:t xml:space="preserve"> no less than 95 per cent raw accuracy of words (excluding video relay). Raw accuracy is measured through monthly staff assessments of relay officers.</w:t>
      </w:r>
    </w:p>
    <w:p w14:paraId="0B589FD1" w14:textId="742E8FAD" w:rsidR="00A35060" w:rsidRPr="00513188" w:rsidRDefault="00A35060" w:rsidP="0010018F">
      <w:pPr>
        <w:keepNext/>
      </w:pPr>
      <w:r w:rsidRPr="00513188">
        <w:lastRenderedPageBreak/>
        <w:t xml:space="preserve">The relay service provider’s </w:t>
      </w:r>
      <w:r w:rsidR="001E4275">
        <w:t xml:space="preserve">reported </w:t>
      </w:r>
      <w:r w:rsidRPr="00513188">
        <w:t>performance against these service levels is outlined in the table below:</w:t>
      </w:r>
    </w:p>
    <w:p w14:paraId="72851063" w14:textId="77777777" w:rsidR="005B5C58" w:rsidRPr="00E541EC" w:rsidRDefault="00333144" w:rsidP="00E541EC">
      <w:pPr>
        <w:pStyle w:val="Tablefigureheading"/>
      </w:pPr>
      <w:r>
        <w:t xml:space="preserve">Table 2. </w:t>
      </w:r>
      <w:r w:rsidR="005B5C58" w:rsidRPr="00E541EC">
        <w:t>Service level performance: relay service provider</w:t>
      </w:r>
    </w:p>
    <w:tbl>
      <w:tblPr>
        <w:tblStyle w:val="TableGrid"/>
        <w:tblW w:w="9682" w:type="dxa"/>
        <w:tblBorders>
          <w:top w:val="none" w:sz="0" w:space="0" w:color="auto"/>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Description w:val="Table 2. Service level performance: relay service provider"/>
      </w:tblPr>
      <w:tblGrid>
        <w:gridCol w:w="1418"/>
        <w:gridCol w:w="709"/>
        <w:gridCol w:w="708"/>
        <w:gridCol w:w="709"/>
        <w:gridCol w:w="709"/>
        <w:gridCol w:w="709"/>
        <w:gridCol w:w="708"/>
        <w:gridCol w:w="567"/>
        <w:gridCol w:w="709"/>
        <w:gridCol w:w="709"/>
        <w:gridCol w:w="709"/>
        <w:gridCol w:w="659"/>
        <w:gridCol w:w="659"/>
      </w:tblGrid>
      <w:tr w:rsidR="00FA4A47" w:rsidRPr="00FA4A47" w14:paraId="54DA62B3" w14:textId="399960A7" w:rsidTr="00FA4A47">
        <w:trPr>
          <w:cantSplit/>
          <w:tblHeader/>
        </w:trPr>
        <w:tc>
          <w:tcPr>
            <w:tcW w:w="1418" w:type="dxa"/>
            <w:tcBorders>
              <w:bottom w:val="single" w:sz="6" w:space="0" w:color="auto"/>
            </w:tcBorders>
            <w:shd w:val="clear" w:color="auto" w:fill="D6F2FA"/>
            <w:vAlign w:val="center"/>
          </w:tcPr>
          <w:p w14:paraId="1A62310B" w14:textId="77777777" w:rsidR="00FA4A47" w:rsidRPr="00FA4A47" w:rsidRDefault="00FA4A47" w:rsidP="00FA4A47">
            <w:pPr>
              <w:pStyle w:val="Tableheading"/>
              <w:jc w:val="center"/>
            </w:pPr>
          </w:p>
        </w:tc>
        <w:tc>
          <w:tcPr>
            <w:tcW w:w="709" w:type="dxa"/>
            <w:tcBorders>
              <w:bottom w:val="single" w:sz="6" w:space="0" w:color="auto"/>
            </w:tcBorders>
            <w:shd w:val="clear" w:color="auto" w:fill="D6F2FA"/>
            <w:vAlign w:val="center"/>
          </w:tcPr>
          <w:p w14:paraId="4492AB8A" w14:textId="4791D113" w:rsidR="00FA4A47" w:rsidRPr="00FA4A47" w:rsidRDefault="00FA4A47" w:rsidP="00FA4A47">
            <w:pPr>
              <w:pStyle w:val="Tableheading"/>
              <w:jc w:val="center"/>
            </w:pPr>
            <w:r w:rsidRPr="00FA4A47">
              <w:rPr>
                <w:rStyle w:val="Bold"/>
                <w:rFonts w:asciiTheme="majorHAnsi" w:eastAsiaTheme="minorEastAsia" w:hAnsiTheme="majorHAnsi" w:cs="Arial"/>
                <w:b/>
                <w:bCs/>
                <w:sz w:val="19"/>
                <w:szCs w:val="19"/>
              </w:rPr>
              <w:t>Jul-16</w:t>
            </w:r>
          </w:p>
        </w:tc>
        <w:tc>
          <w:tcPr>
            <w:tcW w:w="708" w:type="dxa"/>
            <w:tcBorders>
              <w:bottom w:val="single" w:sz="6" w:space="0" w:color="auto"/>
            </w:tcBorders>
            <w:shd w:val="clear" w:color="auto" w:fill="D6F2FA"/>
            <w:vAlign w:val="center"/>
          </w:tcPr>
          <w:p w14:paraId="49CBAAF1" w14:textId="400EADAE" w:rsidR="00FA4A47" w:rsidRPr="00FA4A47" w:rsidRDefault="00FA4A47" w:rsidP="00FA4A47">
            <w:pPr>
              <w:pStyle w:val="Tableheading"/>
              <w:jc w:val="center"/>
            </w:pPr>
            <w:r w:rsidRPr="00FA4A47">
              <w:rPr>
                <w:rStyle w:val="Bold"/>
                <w:rFonts w:asciiTheme="majorHAnsi" w:eastAsiaTheme="minorEastAsia" w:hAnsiTheme="majorHAnsi" w:cs="Arial"/>
                <w:b/>
                <w:bCs/>
                <w:sz w:val="19"/>
                <w:szCs w:val="19"/>
              </w:rPr>
              <w:t>Aug-16</w:t>
            </w:r>
          </w:p>
        </w:tc>
        <w:tc>
          <w:tcPr>
            <w:tcW w:w="709" w:type="dxa"/>
            <w:tcBorders>
              <w:bottom w:val="single" w:sz="6" w:space="0" w:color="auto"/>
            </w:tcBorders>
            <w:shd w:val="clear" w:color="auto" w:fill="D6F2FA"/>
            <w:vAlign w:val="center"/>
          </w:tcPr>
          <w:p w14:paraId="2569C947" w14:textId="0E29B5A5" w:rsidR="00FA4A47" w:rsidRPr="00FA4A47" w:rsidRDefault="00FA4A47" w:rsidP="00FA4A47">
            <w:pPr>
              <w:pStyle w:val="Tableheading"/>
              <w:jc w:val="center"/>
            </w:pPr>
            <w:r w:rsidRPr="00FA4A47">
              <w:rPr>
                <w:rStyle w:val="Bold"/>
                <w:rFonts w:asciiTheme="majorHAnsi" w:eastAsiaTheme="minorEastAsia" w:hAnsiTheme="majorHAnsi" w:cs="Arial"/>
                <w:b/>
                <w:bCs/>
                <w:sz w:val="19"/>
                <w:szCs w:val="19"/>
              </w:rPr>
              <w:t>Sep-16</w:t>
            </w:r>
          </w:p>
        </w:tc>
        <w:tc>
          <w:tcPr>
            <w:tcW w:w="709" w:type="dxa"/>
            <w:tcBorders>
              <w:bottom w:val="single" w:sz="6" w:space="0" w:color="auto"/>
            </w:tcBorders>
            <w:shd w:val="clear" w:color="auto" w:fill="D6F2FA"/>
            <w:vAlign w:val="center"/>
          </w:tcPr>
          <w:p w14:paraId="665B6795" w14:textId="712A2EB7" w:rsidR="00FA4A47" w:rsidRPr="00FA4A47" w:rsidRDefault="00FA4A47" w:rsidP="00FA4A47">
            <w:pPr>
              <w:pStyle w:val="Tableheading"/>
              <w:jc w:val="center"/>
            </w:pPr>
            <w:r w:rsidRPr="00FA4A47">
              <w:rPr>
                <w:rStyle w:val="Bold"/>
                <w:rFonts w:asciiTheme="majorHAnsi" w:eastAsiaTheme="minorEastAsia" w:hAnsiTheme="majorHAnsi" w:cs="Arial"/>
                <w:b/>
                <w:bCs/>
                <w:sz w:val="19"/>
                <w:szCs w:val="19"/>
              </w:rPr>
              <w:t>Oct-16</w:t>
            </w:r>
          </w:p>
        </w:tc>
        <w:tc>
          <w:tcPr>
            <w:tcW w:w="709" w:type="dxa"/>
            <w:tcBorders>
              <w:bottom w:val="single" w:sz="6" w:space="0" w:color="auto"/>
            </w:tcBorders>
            <w:shd w:val="clear" w:color="auto" w:fill="D6F2FA"/>
            <w:vAlign w:val="center"/>
          </w:tcPr>
          <w:p w14:paraId="5BA1A135" w14:textId="7A4F1006" w:rsidR="00FA4A47" w:rsidRPr="00FA4A47" w:rsidRDefault="00FA4A47" w:rsidP="00FA4A47">
            <w:pPr>
              <w:pStyle w:val="Tableheading"/>
              <w:jc w:val="center"/>
            </w:pPr>
            <w:r w:rsidRPr="00FA4A47">
              <w:rPr>
                <w:rStyle w:val="Bold"/>
                <w:rFonts w:asciiTheme="majorHAnsi" w:eastAsiaTheme="minorEastAsia" w:hAnsiTheme="majorHAnsi" w:cs="Arial"/>
                <w:b/>
                <w:bCs/>
                <w:sz w:val="19"/>
                <w:szCs w:val="19"/>
              </w:rPr>
              <w:t>Nov-16</w:t>
            </w:r>
          </w:p>
        </w:tc>
        <w:tc>
          <w:tcPr>
            <w:tcW w:w="708" w:type="dxa"/>
            <w:tcBorders>
              <w:bottom w:val="single" w:sz="6" w:space="0" w:color="auto"/>
            </w:tcBorders>
            <w:shd w:val="clear" w:color="auto" w:fill="D6F2FA"/>
            <w:vAlign w:val="center"/>
          </w:tcPr>
          <w:p w14:paraId="440039F4" w14:textId="4626A599" w:rsidR="00FA4A47" w:rsidRPr="00FA4A47" w:rsidRDefault="00FA4A47" w:rsidP="00FA4A47">
            <w:pPr>
              <w:pStyle w:val="Tableheading"/>
              <w:jc w:val="center"/>
            </w:pPr>
            <w:r w:rsidRPr="00FA4A47">
              <w:rPr>
                <w:rStyle w:val="Bold"/>
                <w:rFonts w:asciiTheme="majorHAnsi" w:eastAsiaTheme="minorEastAsia" w:hAnsiTheme="majorHAnsi" w:cs="Arial"/>
                <w:b/>
                <w:bCs/>
                <w:sz w:val="19"/>
                <w:szCs w:val="19"/>
              </w:rPr>
              <w:t>Dec-16</w:t>
            </w:r>
          </w:p>
        </w:tc>
        <w:tc>
          <w:tcPr>
            <w:tcW w:w="567" w:type="dxa"/>
            <w:tcBorders>
              <w:bottom w:val="single" w:sz="6" w:space="0" w:color="auto"/>
            </w:tcBorders>
            <w:shd w:val="clear" w:color="auto" w:fill="D6F2FA"/>
            <w:vAlign w:val="center"/>
          </w:tcPr>
          <w:p w14:paraId="57BC2001" w14:textId="53ABBC51" w:rsidR="00FA4A47" w:rsidRPr="00FA4A47" w:rsidRDefault="00FA4A47" w:rsidP="00FA4A47">
            <w:pPr>
              <w:pStyle w:val="Tableheadingcentred"/>
            </w:pPr>
            <w:r w:rsidRPr="00FA4A47">
              <w:rPr>
                <w:rStyle w:val="Bold"/>
                <w:rFonts w:asciiTheme="majorHAnsi" w:eastAsiaTheme="minorEastAsia" w:hAnsiTheme="majorHAnsi" w:cs="Arial"/>
                <w:b/>
                <w:bCs/>
                <w:sz w:val="19"/>
                <w:szCs w:val="19"/>
              </w:rPr>
              <w:t>Jan-17</w:t>
            </w:r>
          </w:p>
        </w:tc>
        <w:tc>
          <w:tcPr>
            <w:tcW w:w="709" w:type="dxa"/>
            <w:tcBorders>
              <w:bottom w:val="single" w:sz="6" w:space="0" w:color="auto"/>
            </w:tcBorders>
            <w:shd w:val="clear" w:color="auto" w:fill="D6F2FA"/>
            <w:vAlign w:val="center"/>
          </w:tcPr>
          <w:p w14:paraId="6724A273" w14:textId="7E64522E" w:rsidR="00FA4A47" w:rsidRPr="00FA4A47" w:rsidRDefault="00FA4A47" w:rsidP="00FA4A47">
            <w:pPr>
              <w:pStyle w:val="Tableheadingcentred"/>
            </w:pPr>
            <w:r w:rsidRPr="00FA4A47">
              <w:rPr>
                <w:rStyle w:val="Bold"/>
                <w:rFonts w:asciiTheme="majorHAnsi" w:eastAsiaTheme="minorEastAsia" w:hAnsiTheme="majorHAnsi" w:cs="Arial"/>
                <w:b/>
                <w:bCs/>
                <w:sz w:val="19"/>
                <w:szCs w:val="19"/>
              </w:rPr>
              <w:t>Feb-17</w:t>
            </w:r>
          </w:p>
        </w:tc>
        <w:tc>
          <w:tcPr>
            <w:tcW w:w="709" w:type="dxa"/>
            <w:tcBorders>
              <w:bottom w:val="single" w:sz="6" w:space="0" w:color="auto"/>
            </w:tcBorders>
            <w:shd w:val="clear" w:color="auto" w:fill="D6F2FA"/>
            <w:vAlign w:val="center"/>
          </w:tcPr>
          <w:p w14:paraId="0378F8B0" w14:textId="69B197FC" w:rsidR="00FA4A47" w:rsidRPr="00FA4A47" w:rsidRDefault="00FA4A47" w:rsidP="00FA4A47">
            <w:pPr>
              <w:pStyle w:val="Tableheadingcentred"/>
            </w:pPr>
            <w:r w:rsidRPr="00FA4A47">
              <w:rPr>
                <w:rStyle w:val="Bold"/>
                <w:rFonts w:asciiTheme="majorHAnsi" w:eastAsiaTheme="minorEastAsia" w:hAnsiTheme="majorHAnsi" w:cs="Arial"/>
                <w:b/>
                <w:bCs/>
                <w:sz w:val="19"/>
                <w:szCs w:val="19"/>
              </w:rPr>
              <w:t>Mar-17</w:t>
            </w:r>
          </w:p>
        </w:tc>
        <w:tc>
          <w:tcPr>
            <w:tcW w:w="709" w:type="dxa"/>
            <w:tcBorders>
              <w:bottom w:val="single" w:sz="6" w:space="0" w:color="auto"/>
            </w:tcBorders>
            <w:shd w:val="clear" w:color="auto" w:fill="D6F2FA"/>
            <w:vAlign w:val="center"/>
          </w:tcPr>
          <w:p w14:paraId="52E9226C" w14:textId="5D208054" w:rsidR="00FA4A47" w:rsidRPr="00FA4A47" w:rsidRDefault="00FA4A47" w:rsidP="00FA4A47">
            <w:pPr>
              <w:pStyle w:val="Tableheadingcentred"/>
            </w:pPr>
            <w:r w:rsidRPr="00FA4A47">
              <w:rPr>
                <w:rStyle w:val="Bold"/>
                <w:rFonts w:asciiTheme="majorHAnsi" w:eastAsiaTheme="minorEastAsia" w:hAnsiTheme="majorHAnsi" w:cs="Arial"/>
                <w:b/>
                <w:bCs/>
                <w:sz w:val="19"/>
                <w:szCs w:val="19"/>
              </w:rPr>
              <w:t>Apr-17</w:t>
            </w:r>
          </w:p>
        </w:tc>
        <w:tc>
          <w:tcPr>
            <w:tcW w:w="659" w:type="dxa"/>
            <w:tcBorders>
              <w:bottom w:val="single" w:sz="6" w:space="0" w:color="auto"/>
            </w:tcBorders>
            <w:shd w:val="clear" w:color="auto" w:fill="D6F2FA"/>
            <w:vAlign w:val="center"/>
          </w:tcPr>
          <w:p w14:paraId="4C1DAE99" w14:textId="42E7F1EE" w:rsidR="00FA4A47" w:rsidRPr="00FA4A47" w:rsidRDefault="00FA4A47" w:rsidP="00FA4A47">
            <w:pPr>
              <w:spacing w:after="0"/>
              <w:rPr>
                <w:b/>
                <w:bCs/>
              </w:rPr>
            </w:pPr>
            <w:r w:rsidRPr="00FA4A47">
              <w:rPr>
                <w:rStyle w:val="Bold"/>
                <w:rFonts w:asciiTheme="majorHAnsi" w:eastAsiaTheme="minorEastAsia" w:hAnsiTheme="majorHAnsi" w:cs="Arial"/>
                <w:sz w:val="19"/>
                <w:szCs w:val="19"/>
              </w:rPr>
              <w:t>May-17</w:t>
            </w:r>
          </w:p>
        </w:tc>
        <w:tc>
          <w:tcPr>
            <w:tcW w:w="659" w:type="dxa"/>
            <w:tcBorders>
              <w:bottom w:val="single" w:sz="6" w:space="0" w:color="auto"/>
            </w:tcBorders>
            <w:shd w:val="clear" w:color="auto" w:fill="D6F2FA"/>
            <w:vAlign w:val="center"/>
          </w:tcPr>
          <w:p w14:paraId="29C00BCF" w14:textId="57390203" w:rsidR="00FA4A47" w:rsidRPr="00FA4A47" w:rsidRDefault="00FA4A47" w:rsidP="00FA4A47">
            <w:pPr>
              <w:spacing w:after="0"/>
              <w:rPr>
                <w:b/>
                <w:bCs/>
              </w:rPr>
            </w:pPr>
            <w:r w:rsidRPr="00FA4A47">
              <w:rPr>
                <w:rStyle w:val="Bold"/>
                <w:rFonts w:asciiTheme="majorHAnsi" w:eastAsiaTheme="minorEastAsia" w:hAnsiTheme="majorHAnsi" w:cs="Arial"/>
                <w:sz w:val="19"/>
                <w:szCs w:val="19"/>
              </w:rPr>
              <w:t>Jun-17</w:t>
            </w:r>
          </w:p>
        </w:tc>
      </w:tr>
      <w:tr w:rsidR="00FA4A47" w14:paraId="519ECA59" w14:textId="1F7DBA0B" w:rsidTr="00FA4A47">
        <w:trPr>
          <w:cantSplit/>
        </w:trPr>
        <w:tc>
          <w:tcPr>
            <w:tcW w:w="1418" w:type="dxa"/>
            <w:tcBorders>
              <w:top w:val="single" w:sz="6" w:space="0" w:color="auto"/>
              <w:bottom w:val="single" w:sz="6" w:space="0" w:color="auto"/>
            </w:tcBorders>
            <w:vAlign w:val="center"/>
          </w:tcPr>
          <w:p w14:paraId="59094238" w14:textId="5B540F7D" w:rsidR="00FA4A47" w:rsidRDefault="00FA4A47" w:rsidP="00FA4A47">
            <w:pPr>
              <w:spacing w:after="0"/>
            </w:pPr>
            <w:r w:rsidRPr="00597889">
              <w:rPr>
                <w:rFonts w:asciiTheme="majorHAnsi" w:eastAsiaTheme="minorEastAsia" w:hAnsiTheme="majorHAnsi" w:cs="Arial"/>
                <w:b/>
                <w:snapToGrid w:val="0"/>
                <w:sz w:val="19"/>
                <w:szCs w:val="19"/>
                <w:lang w:val="en-US"/>
              </w:rPr>
              <w:t>Service level 1(a)</w:t>
            </w:r>
          </w:p>
        </w:tc>
        <w:tc>
          <w:tcPr>
            <w:tcW w:w="709" w:type="dxa"/>
            <w:tcBorders>
              <w:top w:val="single" w:sz="6" w:space="0" w:color="auto"/>
              <w:bottom w:val="single" w:sz="6" w:space="0" w:color="auto"/>
            </w:tcBorders>
            <w:vAlign w:val="center"/>
          </w:tcPr>
          <w:p w14:paraId="70EE3F90" w14:textId="42E3203A" w:rsidR="00FA4A47" w:rsidRDefault="00FA4A47" w:rsidP="00FA4A47">
            <w:pPr>
              <w:spacing w:after="0"/>
              <w:jc w:val="center"/>
            </w:pPr>
            <w:r>
              <w:rPr>
                <w:rFonts w:asciiTheme="majorHAnsi" w:eastAsiaTheme="minorEastAsia" w:hAnsiTheme="majorHAnsi" w:cs="Arial"/>
                <w:snapToGrid w:val="0"/>
                <w:sz w:val="19"/>
                <w:szCs w:val="19"/>
                <w:lang w:val="en-US"/>
              </w:rPr>
              <w:t>94.95</w:t>
            </w:r>
            <w:r w:rsidRPr="004C6708">
              <w:rPr>
                <w:rFonts w:asciiTheme="majorHAnsi" w:eastAsiaTheme="minorEastAsia" w:hAnsiTheme="majorHAnsi" w:cs="Arial"/>
                <w:snapToGrid w:val="0"/>
                <w:sz w:val="19"/>
                <w:szCs w:val="19"/>
                <w:lang w:val="en-US"/>
              </w:rPr>
              <w:t>%</w:t>
            </w:r>
          </w:p>
        </w:tc>
        <w:tc>
          <w:tcPr>
            <w:tcW w:w="708" w:type="dxa"/>
            <w:tcBorders>
              <w:top w:val="single" w:sz="6" w:space="0" w:color="auto"/>
              <w:bottom w:val="single" w:sz="6" w:space="0" w:color="auto"/>
            </w:tcBorders>
            <w:vAlign w:val="center"/>
          </w:tcPr>
          <w:p w14:paraId="7F096EBF" w14:textId="1E58278A" w:rsidR="00FA4A47" w:rsidRDefault="00FA4A47" w:rsidP="00FA4A47">
            <w:pPr>
              <w:spacing w:after="0"/>
              <w:jc w:val="center"/>
            </w:pPr>
            <w:r>
              <w:rPr>
                <w:rFonts w:asciiTheme="majorHAnsi" w:eastAsiaTheme="minorEastAsia" w:hAnsiTheme="majorHAnsi" w:cs="Arial"/>
                <w:snapToGrid w:val="0"/>
                <w:sz w:val="19"/>
                <w:szCs w:val="19"/>
                <w:lang w:val="en-US"/>
              </w:rPr>
              <w:t>96.21</w:t>
            </w:r>
            <w:r w:rsidRPr="004C6708">
              <w:rPr>
                <w:rFonts w:asciiTheme="majorHAnsi" w:eastAsiaTheme="minorEastAsia" w:hAnsiTheme="majorHAnsi" w:cs="Arial"/>
                <w:snapToGrid w:val="0"/>
                <w:sz w:val="19"/>
                <w:szCs w:val="19"/>
                <w:lang w:val="en-US"/>
              </w:rPr>
              <w:t>%</w:t>
            </w:r>
          </w:p>
        </w:tc>
        <w:tc>
          <w:tcPr>
            <w:tcW w:w="709" w:type="dxa"/>
            <w:tcBorders>
              <w:top w:val="single" w:sz="6" w:space="0" w:color="auto"/>
              <w:bottom w:val="single" w:sz="6" w:space="0" w:color="auto"/>
            </w:tcBorders>
            <w:vAlign w:val="center"/>
          </w:tcPr>
          <w:p w14:paraId="27EA83E8" w14:textId="36F1A423" w:rsidR="00FA4A47" w:rsidRDefault="00FA4A47" w:rsidP="00FA4A47">
            <w:pPr>
              <w:spacing w:after="0"/>
              <w:jc w:val="center"/>
            </w:pPr>
            <w:r>
              <w:rPr>
                <w:rFonts w:asciiTheme="majorHAnsi" w:eastAsiaTheme="minorEastAsia" w:hAnsiTheme="majorHAnsi" w:cs="Arial"/>
                <w:snapToGrid w:val="0"/>
                <w:sz w:val="19"/>
                <w:szCs w:val="19"/>
                <w:lang w:val="en-US"/>
              </w:rPr>
              <w:t>97.40</w:t>
            </w:r>
            <w:r w:rsidRPr="004C6708">
              <w:rPr>
                <w:rFonts w:asciiTheme="majorHAnsi" w:eastAsiaTheme="minorEastAsia" w:hAnsiTheme="majorHAnsi" w:cs="Arial"/>
                <w:snapToGrid w:val="0"/>
                <w:sz w:val="19"/>
                <w:szCs w:val="19"/>
                <w:lang w:val="en-US"/>
              </w:rPr>
              <w:t>%</w:t>
            </w:r>
          </w:p>
        </w:tc>
        <w:tc>
          <w:tcPr>
            <w:tcW w:w="709" w:type="dxa"/>
            <w:tcBorders>
              <w:top w:val="single" w:sz="6" w:space="0" w:color="auto"/>
              <w:bottom w:val="single" w:sz="6" w:space="0" w:color="auto"/>
            </w:tcBorders>
            <w:vAlign w:val="center"/>
          </w:tcPr>
          <w:p w14:paraId="6AD3321F" w14:textId="77777777" w:rsidR="00FA4A47" w:rsidRDefault="00FA4A47" w:rsidP="00FA4A47">
            <w:pPr>
              <w:spacing w:after="0"/>
              <w:jc w:val="center"/>
            </w:pPr>
          </w:p>
        </w:tc>
        <w:tc>
          <w:tcPr>
            <w:tcW w:w="709" w:type="dxa"/>
            <w:tcBorders>
              <w:top w:val="single" w:sz="6" w:space="0" w:color="auto"/>
              <w:bottom w:val="single" w:sz="6" w:space="0" w:color="auto"/>
            </w:tcBorders>
            <w:vAlign w:val="center"/>
          </w:tcPr>
          <w:p w14:paraId="4336BD1B" w14:textId="77777777" w:rsidR="00FA4A47" w:rsidRDefault="00FA4A47" w:rsidP="00FA4A47">
            <w:pPr>
              <w:spacing w:after="0"/>
              <w:jc w:val="center"/>
            </w:pPr>
          </w:p>
        </w:tc>
        <w:tc>
          <w:tcPr>
            <w:tcW w:w="708" w:type="dxa"/>
            <w:tcBorders>
              <w:top w:val="single" w:sz="6" w:space="0" w:color="auto"/>
              <w:bottom w:val="single" w:sz="6" w:space="0" w:color="auto"/>
            </w:tcBorders>
            <w:vAlign w:val="center"/>
          </w:tcPr>
          <w:p w14:paraId="533E4C56" w14:textId="62B2658A" w:rsidR="00FA4A47" w:rsidRDefault="00FA4A47" w:rsidP="00FA4A47">
            <w:pPr>
              <w:spacing w:after="0"/>
              <w:jc w:val="center"/>
            </w:pPr>
          </w:p>
        </w:tc>
        <w:tc>
          <w:tcPr>
            <w:tcW w:w="567" w:type="dxa"/>
            <w:tcBorders>
              <w:top w:val="single" w:sz="6" w:space="0" w:color="auto"/>
              <w:bottom w:val="single" w:sz="6" w:space="0" w:color="auto"/>
            </w:tcBorders>
            <w:vAlign w:val="center"/>
          </w:tcPr>
          <w:p w14:paraId="180371F6" w14:textId="77777777" w:rsidR="00FA4A47" w:rsidRDefault="00FA4A47" w:rsidP="00FA4A47">
            <w:pPr>
              <w:pStyle w:val="Tabletextcentred"/>
            </w:pPr>
          </w:p>
        </w:tc>
        <w:tc>
          <w:tcPr>
            <w:tcW w:w="709" w:type="dxa"/>
            <w:tcBorders>
              <w:top w:val="single" w:sz="6" w:space="0" w:color="auto"/>
              <w:bottom w:val="single" w:sz="6" w:space="0" w:color="auto"/>
            </w:tcBorders>
            <w:vAlign w:val="center"/>
          </w:tcPr>
          <w:p w14:paraId="5737A15D" w14:textId="77777777" w:rsidR="00FA4A47" w:rsidRDefault="00FA4A47" w:rsidP="00FA4A47">
            <w:pPr>
              <w:pStyle w:val="Tabletextcentred"/>
            </w:pPr>
          </w:p>
        </w:tc>
        <w:tc>
          <w:tcPr>
            <w:tcW w:w="709" w:type="dxa"/>
            <w:tcBorders>
              <w:top w:val="single" w:sz="6" w:space="0" w:color="auto"/>
              <w:bottom w:val="single" w:sz="6" w:space="0" w:color="auto"/>
            </w:tcBorders>
            <w:vAlign w:val="center"/>
          </w:tcPr>
          <w:p w14:paraId="0C365311" w14:textId="77777777" w:rsidR="00FA4A47" w:rsidRDefault="00FA4A47" w:rsidP="00FA4A47">
            <w:pPr>
              <w:pStyle w:val="Tabletextcentred"/>
            </w:pPr>
          </w:p>
        </w:tc>
        <w:tc>
          <w:tcPr>
            <w:tcW w:w="709" w:type="dxa"/>
            <w:tcBorders>
              <w:top w:val="single" w:sz="6" w:space="0" w:color="auto"/>
              <w:bottom w:val="single" w:sz="6" w:space="0" w:color="auto"/>
            </w:tcBorders>
            <w:vAlign w:val="center"/>
          </w:tcPr>
          <w:p w14:paraId="1B1D6455" w14:textId="177297D0" w:rsidR="00FA4A47" w:rsidRDefault="00FA4A47" w:rsidP="00FA4A47">
            <w:pPr>
              <w:pStyle w:val="Tabletextcentred"/>
            </w:pPr>
          </w:p>
        </w:tc>
        <w:tc>
          <w:tcPr>
            <w:tcW w:w="659" w:type="dxa"/>
            <w:tcBorders>
              <w:top w:val="single" w:sz="6" w:space="0" w:color="auto"/>
              <w:bottom w:val="single" w:sz="6" w:space="0" w:color="auto"/>
            </w:tcBorders>
            <w:vAlign w:val="center"/>
          </w:tcPr>
          <w:p w14:paraId="3556F297" w14:textId="77777777" w:rsidR="00FA4A47" w:rsidRDefault="00FA4A47" w:rsidP="00FA4A47">
            <w:pPr>
              <w:spacing w:after="0"/>
            </w:pPr>
          </w:p>
        </w:tc>
        <w:tc>
          <w:tcPr>
            <w:tcW w:w="659" w:type="dxa"/>
            <w:tcBorders>
              <w:top w:val="single" w:sz="6" w:space="0" w:color="auto"/>
              <w:bottom w:val="single" w:sz="6" w:space="0" w:color="auto"/>
            </w:tcBorders>
            <w:vAlign w:val="center"/>
          </w:tcPr>
          <w:p w14:paraId="63A56657" w14:textId="77777777" w:rsidR="00FA4A47" w:rsidRDefault="00FA4A47" w:rsidP="00FA4A47">
            <w:pPr>
              <w:spacing w:after="0"/>
            </w:pPr>
          </w:p>
        </w:tc>
      </w:tr>
      <w:tr w:rsidR="00FA4A47" w14:paraId="3FFA2776" w14:textId="6F32A5BC" w:rsidTr="00FA4A47">
        <w:trPr>
          <w:cantSplit/>
        </w:trPr>
        <w:tc>
          <w:tcPr>
            <w:tcW w:w="1418" w:type="dxa"/>
            <w:tcBorders>
              <w:top w:val="single" w:sz="6" w:space="0" w:color="auto"/>
              <w:bottom w:val="single" w:sz="6" w:space="0" w:color="auto"/>
            </w:tcBorders>
            <w:vAlign w:val="center"/>
          </w:tcPr>
          <w:p w14:paraId="53C59E62" w14:textId="4DE5E7CB" w:rsidR="00FA4A47" w:rsidRDefault="00FA4A47" w:rsidP="00FA4A47">
            <w:pPr>
              <w:spacing w:after="0"/>
            </w:pPr>
            <w:r w:rsidRPr="00597889">
              <w:rPr>
                <w:rFonts w:asciiTheme="majorHAnsi" w:eastAsiaTheme="minorEastAsia" w:hAnsiTheme="majorHAnsi" w:cs="Arial"/>
                <w:b/>
                <w:snapToGrid w:val="0"/>
                <w:sz w:val="19"/>
                <w:szCs w:val="19"/>
                <w:lang w:val="en-US"/>
              </w:rPr>
              <w:t>Service level 1(b)</w:t>
            </w:r>
          </w:p>
        </w:tc>
        <w:tc>
          <w:tcPr>
            <w:tcW w:w="709" w:type="dxa"/>
            <w:tcBorders>
              <w:top w:val="single" w:sz="6" w:space="0" w:color="auto"/>
              <w:bottom w:val="single" w:sz="6" w:space="0" w:color="auto"/>
            </w:tcBorders>
            <w:vAlign w:val="center"/>
          </w:tcPr>
          <w:p w14:paraId="2673B4D7" w14:textId="07FA2BF1" w:rsidR="00FA4A47" w:rsidRDefault="00FA4A47" w:rsidP="00FA4A47">
            <w:pPr>
              <w:spacing w:after="0"/>
              <w:jc w:val="center"/>
            </w:pPr>
            <w:r>
              <w:rPr>
                <w:rFonts w:asciiTheme="majorHAnsi" w:eastAsiaTheme="minorEastAsia" w:hAnsiTheme="majorHAnsi" w:cs="Arial"/>
                <w:snapToGrid w:val="0"/>
                <w:sz w:val="19"/>
                <w:szCs w:val="19"/>
                <w:lang w:val="en-US"/>
              </w:rPr>
              <w:t>95.49</w:t>
            </w:r>
            <w:r w:rsidRPr="004C6708">
              <w:rPr>
                <w:rFonts w:asciiTheme="majorHAnsi" w:eastAsiaTheme="minorEastAsia" w:hAnsiTheme="majorHAnsi" w:cs="Arial"/>
                <w:snapToGrid w:val="0"/>
                <w:sz w:val="19"/>
                <w:szCs w:val="19"/>
                <w:lang w:val="en-US"/>
              </w:rPr>
              <w:t>%</w:t>
            </w:r>
          </w:p>
        </w:tc>
        <w:tc>
          <w:tcPr>
            <w:tcW w:w="708" w:type="dxa"/>
            <w:tcBorders>
              <w:top w:val="single" w:sz="6" w:space="0" w:color="auto"/>
              <w:bottom w:val="single" w:sz="6" w:space="0" w:color="auto"/>
            </w:tcBorders>
            <w:vAlign w:val="center"/>
          </w:tcPr>
          <w:p w14:paraId="3FED5307" w14:textId="2374842F" w:rsidR="00FA4A47" w:rsidRDefault="00FA4A47" w:rsidP="00FA4A47">
            <w:pPr>
              <w:spacing w:after="0"/>
              <w:jc w:val="center"/>
            </w:pPr>
            <w:r>
              <w:rPr>
                <w:rFonts w:asciiTheme="majorHAnsi" w:eastAsiaTheme="minorEastAsia" w:hAnsiTheme="majorHAnsi" w:cs="Arial"/>
                <w:snapToGrid w:val="0"/>
                <w:sz w:val="19"/>
                <w:szCs w:val="19"/>
                <w:lang w:val="en-US"/>
              </w:rPr>
              <w:t>96.69</w:t>
            </w:r>
            <w:r w:rsidRPr="004C6708">
              <w:rPr>
                <w:rFonts w:asciiTheme="majorHAnsi" w:eastAsiaTheme="minorEastAsia" w:hAnsiTheme="majorHAnsi" w:cs="Arial"/>
                <w:snapToGrid w:val="0"/>
                <w:sz w:val="19"/>
                <w:szCs w:val="19"/>
                <w:lang w:val="en-US"/>
              </w:rPr>
              <w:t>%</w:t>
            </w:r>
          </w:p>
        </w:tc>
        <w:tc>
          <w:tcPr>
            <w:tcW w:w="709" w:type="dxa"/>
            <w:tcBorders>
              <w:top w:val="single" w:sz="6" w:space="0" w:color="auto"/>
              <w:bottom w:val="single" w:sz="6" w:space="0" w:color="auto"/>
            </w:tcBorders>
            <w:vAlign w:val="center"/>
          </w:tcPr>
          <w:p w14:paraId="0E9712DB" w14:textId="47FFCB6D" w:rsidR="00FA4A47" w:rsidRDefault="00FA4A47" w:rsidP="00FA4A47">
            <w:pPr>
              <w:spacing w:after="0"/>
              <w:jc w:val="center"/>
            </w:pPr>
            <w:r>
              <w:rPr>
                <w:rFonts w:asciiTheme="majorHAnsi" w:eastAsiaTheme="minorEastAsia" w:hAnsiTheme="majorHAnsi" w:cs="Arial"/>
                <w:snapToGrid w:val="0"/>
                <w:sz w:val="19"/>
                <w:szCs w:val="19"/>
                <w:lang w:val="en-US"/>
              </w:rPr>
              <w:t>97.78</w:t>
            </w:r>
            <w:r w:rsidRPr="004C6708">
              <w:rPr>
                <w:rFonts w:asciiTheme="majorHAnsi" w:eastAsiaTheme="minorEastAsia" w:hAnsiTheme="majorHAnsi" w:cs="Arial"/>
                <w:snapToGrid w:val="0"/>
                <w:sz w:val="19"/>
                <w:szCs w:val="19"/>
                <w:lang w:val="en-US"/>
              </w:rPr>
              <w:t>%</w:t>
            </w:r>
          </w:p>
        </w:tc>
        <w:tc>
          <w:tcPr>
            <w:tcW w:w="709" w:type="dxa"/>
            <w:tcBorders>
              <w:top w:val="single" w:sz="6" w:space="0" w:color="auto"/>
              <w:bottom w:val="single" w:sz="6" w:space="0" w:color="auto"/>
            </w:tcBorders>
            <w:vAlign w:val="center"/>
          </w:tcPr>
          <w:p w14:paraId="54BB10D5" w14:textId="77777777" w:rsidR="00FA4A47" w:rsidRDefault="00FA4A47" w:rsidP="00FA4A47">
            <w:pPr>
              <w:spacing w:after="0"/>
              <w:jc w:val="center"/>
            </w:pPr>
          </w:p>
        </w:tc>
        <w:tc>
          <w:tcPr>
            <w:tcW w:w="709" w:type="dxa"/>
            <w:tcBorders>
              <w:top w:val="single" w:sz="6" w:space="0" w:color="auto"/>
              <w:bottom w:val="single" w:sz="6" w:space="0" w:color="auto"/>
            </w:tcBorders>
            <w:vAlign w:val="center"/>
          </w:tcPr>
          <w:p w14:paraId="27819AD7" w14:textId="77777777" w:rsidR="00FA4A47" w:rsidRDefault="00FA4A47" w:rsidP="00FA4A47">
            <w:pPr>
              <w:spacing w:after="0"/>
              <w:jc w:val="center"/>
            </w:pPr>
          </w:p>
        </w:tc>
        <w:tc>
          <w:tcPr>
            <w:tcW w:w="708" w:type="dxa"/>
            <w:tcBorders>
              <w:top w:val="single" w:sz="6" w:space="0" w:color="auto"/>
              <w:bottom w:val="single" w:sz="6" w:space="0" w:color="auto"/>
            </w:tcBorders>
            <w:vAlign w:val="center"/>
          </w:tcPr>
          <w:p w14:paraId="5F59FE93" w14:textId="260199BD" w:rsidR="00FA4A47" w:rsidRDefault="00FA4A47" w:rsidP="00FA4A47">
            <w:pPr>
              <w:spacing w:after="0"/>
              <w:jc w:val="center"/>
            </w:pPr>
          </w:p>
        </w:tc>
        <w:tc>
          <w:tcPr>
            <w:tcW w:w="567" w:type="dxa"/>
            <w:tcBorders>
              <w:top w:val="single" w:sz="6" w:space="0" w:color="auto"/>
              <w:bottom w:val="single" w:sz="6" w:space="0" w:color="auto"/>
            </w:tcBorders>
            <w:vAlign w:val="center"/>
          </w:tcPr>
          <w:p w14:paraId="1A88399A" w14:textId="77777777" w:rsidR="00FA4A47" w:rsidRDefault="00FA4A47" w:rsidP="00FA4A47">
            <w:pPr>
              <w:pStyle w:val="Tabletextcentred"/>
            </w:pPr>
          </w:p>
        </w:tc>
        <w:tc>
          <w:tcPr>
            <w:tcW w:w="709" w:type="dxa"/>
            <w:tcBorders>
              <w:top w:val="single" w:sz="6" w:space="0" w:color="auto"/>
              <w:bottom w:val="single" w:sz="6" w:space="0" w:color="auto"/>
            </w:tcBorders>
            <w:vAlign w:val="center"/>
          </w:tcPr>
          <w:p w14:paraId="77168782" w14:textId="77777777" w:rsidR="00FA4A47" w:rsidRDefault="00FA4A47" w:rsidP="00FA4A47">
            <w:pPr>
              <w:pStyle w:val="Tabletextcentred"/>
            </w:pPr>
          </w:p>
        </w:tc>
        <w:tc>
          <w:tcPr>
            <w:tcW w:w="709" w:type="dxa"/>
            <w:tcBorders>
              <w:top w:val="single" w:sz="6" w:space="0" w:color="auto"/>
              <w:bottom w:val="single" w:sz="6" w:space="0" w:color="auto"/>
            </w:tcBorders>
            <w:vAlign w:val="center"/>
          </w:tcPr>
          <w:p w14:paraId="365979C4" w14:textId="77777777" w:rsidR="00FA4A47" w:rsidRDefault="00FA4A47" w:rsidP="00FA4A47">
            <w:pPr>
              <w:pStyle w:val="Tabletextcentred"/>
            </w:pPr>
          </w:p>
        </w:tc>
        <w:tc>
          <w:tcPr>
            <w:tcW w:w="709" w:type="dxa"/>
            <w:tcBorders>
              <w:top w:val="single" w:sz="6" w:space="0" w:color="auto"/>
              <w:bottom w:val="single" w:sz="6" w:space="0" w:color="auto"/>
            </w:tcBorders>
            <w:vAlign w:val="center"/>
          </w:tcPr>
          <w:p w14:paraId="21A131A4" w14:textId="2BAAFF5B" w:rsidR="00FA4A47" w:rsidRDefault="00FA4A47" w:rsidP="00FA4A47">
            <w:pPr>
              <w:pStyle w:val="Tabletextcentred"/>
            </w:pPr>
          </w:p>
        </w:tc>
        <w:tc>
          <w:tcPr>
            <w:tcW w:w="659" w:type="dxa"/>
            <w:tcBorders>
              <w:top w:val="single" w:sz="6" w:space="0" w:color="auto"/>
              <w:bottom w:val="single" w:sz="6" w:space="0" w:color="auto"/>
            </w:tcBorders>
            <w:vAlign w:val="center"/>
          </w:tcPr>
          <w:p w14:paraId="050D0108" w14:textId="77777777" w:rsidR="00FA4A47" w:rsidRDefault="00FA4A47" w:rsidP="00FA4A47">
            <w:pPr>
              <w:spacing w:after="0"/>
            </w:pPr>
          </w:p>
        </w:tc>
        <w:tc>
          <w:tcPr>
            <w:tcW w:w="659" w:type="dxa"/>
            <w:tcBorders>
              <w:top w:val="single" w:sz="6" w:space="0" w:color="auto"/>
              <w:bottom w:val="single" w:sz="6" w:space="0" w:color="auto"/>
            </w:tcBorders>
            <w:vAlign w:val="center"/>
          </w:tcPr>
          <w:p w14:paraId="5EED3A64" w14:textId="77777777" w:rsidR="00FA4A47" w:rsidRDefault="00FA4A47" w:rsidP="00FA4A47">
            <w:pPr>
              <w:spacing w:after="0"/>
            </w:pPr>
          </w:p>
        </w:tc>
      </w:tr>
      <w:tr w:rsidR="00FA4A47" w14:paraId="6D12D1BB" w14:textId="3B2BF1F5" w:rsidTr="00FA4A47">
        <w:trPr>
          <w:cantSplit/>
        </w:trPr>
        <w:tc>
          <w:tcPr>
            <w:tcW w:w="1418" w:type="dxa"/>
            <w:tcBorders>
              <w:top w:val="single" w:sz="6" w:space="0" w:color="auto"/>
              <w:bottom w:val="single" w:sz="6" w:space="0" w:color="auto"/>
            </w:tcBorders>
            <w:vAlign w:val="center"/>
          </w:tcPr>
          <w:p w14:paraId="7AC8AD42" w14:textId="31A31D52" w:rsidR="00FA4A47" w:rsidRPr="00A35060" w:rsidRDefault="00FA4A47" w:rsidP="00FA4A47">
            <w:pPr>
              <w:spacing w:after="0"/>
            </w:pPr>
            <w:r w:rsidRPr="00597889">
              <w:rPr>
                <w:rFonts w:asciiTheme="majorHAnsi" w:eastAsiaTheme="minorEastAsia" w:hAnsiTheme="majorHAnsi" w:cs="Arial"/>
                <w:b/>
                <w:snapToGrid w:val="0"/>
                <w:sz w:val="19"/>
                <w:szCs w:val="19"/>
                <w:lang w:val="en-US"/>
              </w:rPr>
              <w:t>Service level 2</w:t>
            </w:r>
          </w:p>
        </w:tc>
        <w:tc>
          <w:tcPr>
            <w:tcW w:w="709" w:type="dxa"/>
            <w:tcBorders>
              <w:top w:val="single" w:sz="6" w:space="0" w:color="auto"/>
              <w:bottom w:val="single" w:sz="6" w:space="0" w:color="auto"/>
            </w:tcBorders>
            <w:vAlign w:val="center"/>
          </w:tcPr>
          <w:p w14:paraId="412613A4" w14:textId="59A8927A" w:rsidR="00FA4A47" w:rsidRPr="00513188" w:rsidRDefault="00FA4A47" w:rsidP="00FA4A47">
            <w:pPr>
              <w:spacing w:after="0"/>
              <w:jc w:val="center"/>
            </w:pPr>
            <w:r w:rsidRPr="004C6708">
              <w:rPr>
                <w:rFonts w:asciiTheme="majorHAnsi" w:eastAsiaTheme="minorEastAsia" w:hAnsiTheme="majorHAnsi" w:cs="Arial"/>
                <w:snapToGrid w:val="0"/>
                <w:sz w:val="19"/>
                <w:szCs w:val="19"/>
                <w:lang w:val="en-US"/>
              </w:rPr>
              <w:t>0.</w:t>
            </w:r>
            <w:r>
              <w:rPr>
                <w:rFonts w:asciiTheme="majorHAnsi" w:eastAsiaTheme="minorEastAsia" w:hAnsiTheme="majorHAnsi" w:cs="Arial"/>
                <w:snapToGrid w:val="0"/>
                <w:sz w:val="19"/>
                <w:szCs w:val="19"/>
                <w:lang w:val="en-US"/>
              </w:rPr>
              <w:t>56</w:t>
            </w:r>
            <w:r w:rsidRPr="004C6708">
              <w:rPr>
                <w:rFonts w:asciiTheme="majorHAnsi" w:eastAsiaTheme="minorEastAsia" w:hAnsiTheme="majorHAnsi" w:cs="Arial"/>
                <w:snapToGrid w:val="0"/>
                <w:sz w:val="19"/>
                <w:szCs w:val="19"/>
                <w:lang w:val="en-US"/>
              </w:rPr>
              <w:t>%</w:t>
            </w:r>
          </w:p>
        </w:tc>
        <w:tc>
          <w:tcPr>
            <w:tcW w:w="708" w:type="dxa"/>
            <w:tcBorders>
              <w:top w:val="single" w:sz="6" w:space="0" w:color="auto"/>
              <w:bottom w:val="single" w:sz="6" w:space="0" w:color="auto"/>
            </w:tcBorders>
            <w:vAlign w:val="center"/>
          </w:tcPr>
          <w:p w14:paraId="6CCC64E6" w14:textId="33083B4C" w:rsidR="00FA4A47" w:rsidRPr="00513188" w:rsidRDefault="00FA4A47" w:rsidP="00FA4A47">
            <w:pPr>
              <w:spacing w:after="0"/>
              <w:jc w:val="center"/>
            </w:pPr>
            <w:r>
              <w:rPr>
                <w:rFonts w:asciiTheme="majorHAnsi" w:eastAsiaTheme="minorEastAsia" w:hAnsiTheme="majorHAnsi" w:cs="Arial"/>
                <w:snapToGrid w:val="0"/>
                <w:sz w:val="19"/>
                <w:szCs w:val="19"/>
                <w:lang w:val="en-US"/>
              </w:rPr>
              <w:t>0.44</w:t>
            </w:r>
            <w:r w:rsidRPr="004C6708">
              <w:rPr>
                <w:rFonts w:asciiTheme="majorHAnsi" w:eastAsiaTheme="minorEastAsia" w:hAnsiTheme="majorHAnsi" w:cs="Arial"/>
                <w:snapToGrid w:val="0"/>
                <w:sz w:val="19"/>
                <w:szCs w:val="19"/>
                <w:lang w:val="en-US"/>
              </w:rPr>
              <w:t>%</w:t>
            </w:r>
          </w:p>
        </w:tc>
        <w:tc>
          <w:tcPr>
            <w:tcW w:w="709" w:type="dxa"/>
            <w:tcBorders>
              <w:top w:val="single" w:sz="6" w:space="0" w:color="auto"/>
              <w:bottom w:val="single" w:sz="6" w:space="0" w:color="auto"/>
            </w:tcBorders>
            <w:vAlign w:val="center"/>
          </w:tcPr>
          <w:p w14:paraId="7847C217" w14:textId="5DD79871" w:rsidR="00FA4A47" w:rsidRPr="00513188" w:rsidRDefault="00FA4A47" w:rsidP="00FA4A47">
            <w:pPr>
              <w:spacing w:after="0"/>
              <w:jc w:val="center"/>
            </w:pPr>
            <w:r>
              <w:rPr>
                <w:rFonts w:asciiTheme="majorHAnsi" w:eastAsiaTheme="minorEastAsia" w:hAnsiTheme="majorHAnsi" w:cs="Arial"/>
                <w:snapToGrid w:val="0"/>
                <w:sz w:val="19"/>
                <w:szCs w:val="19"/>
                <w:lang w:val="en-US"/>
              </w:rPr>
              <w:t>0.38</w:t>
            </w:r>
            <w:r w:rsidRPr="004C6708">
              <w:rPr>
                <w:rFonts w:asciiTheme="majorHAnsi" w:eastAsiaTheme="minorEastAsia" w:hAnsiTheme="majorHAnsi" w:cs="Arial"/>
                <w:snapToGrid w:val="0"/>
                <w:sz w:val="19"/>
                <w:szCs w:val="19"/>
                <w:lang w:val="en-US"/>
              </w:rPr>
              <w:t>%</w:t>
            </w:r>
          </w:p>
        </w:tc>
        <w:tc>
          <w:tcPr>
            <w:tcW w:w="709" w:type="dxa"/>
            <w:tcBorders>
              <w:top w:val="single" w:sz="6" w:space="0" w:color="auto"/>
              <w:bottom w:val="single" w:sz="6" w:space="0" w:color="auto"/>
            </w:tcBorders>
            <w:vAlign w:val="center"/>
          </w:tcPr>
          <w:p w14:paraId="73EDD3FA" w14:textId="77777777" w:rsidR="00FA4A47" w:rsidRPr="00513188" w:rsidRDefault="00FA4A47" w:rsidP="00FA4A47">
            <w:pPr>
              <w:spacing w:after="0"/>
              <w:jc w:val="center"/>
            </w:pPr>
          </w:p>
        </w:tc>
        <w:tc>
          <w:tcPr>
            <w:tcW w:w="709" w:type="dxa"/>
            <w:tcBorders>
              <w:top w:val="single" w:sz="6" w:space="0" w:color="auto"/>
              <w:bottom w:val="single" w:sz="6" w:space="0" w:color="auto"/>
            </w:tcBorders>
            <w:vAlign w:val="center"/>
          </w:tcPr>
          <w:p w14:paraId="05EA261E" w14:textId="77777777" w:rsidR="00FA4A47" w:rsidRPr="00513188" w:rsidRDefault="00FA4A47" w:rsidP="00FA4A47">
            <w:pPr>
              <w:spacing w:after="0"/>
              <w:jc w:val="center"/>
            </w:pPr>
          </w:p>
        </w:tc>
        <w:tc>
          <w:tcPr>
            <w:tcW w:w="708" w:type="dxa"/>
            <w:tcBorders>
              <w:top w:val="single" w:sz="6" w:space="0" w:color="auto"/>
              <w:bottom w:val="single" w:sz="6" w:space="0" w:color="auto"/>
            </w:tcBorders>
            <w:vAlign w:val="center"/>
          </w:tcPr>
          <w:p w14:paraId="7FABC38B" w14:textId="321DED51" w:rsidR="00FA4A47" w:rsidRPr="00513188" w:rsidRDefault="00FA4A47" w:rsidP="00FA4A47">
            <w:pPr>
              <w:spacing w:after="0"/>
              <w:jc w:val="center"/>
            </w:pPr>
          </w:p>
        </w:tc>
        <w:tc>
          <w:tcPr>
            <w:tcW w:w="567" w:type="dxa"/>
            <w:tcBorders>
              <w:top w:val="single" w:sz="6" w:space="0" w:color="auto"/>
              <w:bottom w:val="single" w:sz="6" w:space="0" w:color="auto"/>
            </w:tcBorders>
            <w:vAlign w:val="center"/>
          </w:tcPr>
          <w:p w14:paraId="7B79B463" w14:textId="77777777" w:rsidR="00FA4A47" w:rsidRDefault="00FA4A47" w:rsidP="00FA4A47">
            <w:pPr>
              <w:pStyle w:val="Tabletextcentred"/>
            </w:pPr>
          </w:p>
        </w:tc>
        <w:tc>
          <w:tcPr>
            <w:tcW w:w="709" w:type="dxa"/>
            <w:tcBorders>
              <w:top w:val="single" w:sz="6" w:space="0" w:color="auto"/>
              <w:bottom w:val="single" w:sz="6" w:space="0" w:color="auto"/>
            </w:tcBorders>
            <w:vAlign w:val="center"/>
          </w:tcPr>
          <w:p w14:paraId="070A34C7" w14:textId="77777777" w:rsidR="00FA4A47" w:rsidRDefault="00FA4A47" w:rsidP="00FA4A47">
            <w:pPr>
              <w:pStyle w:val="Tabletextcentred"/>
            </w:pPr>
          </w:p>
        </w:tc>
        <w:tc>
          <w:tcPr>
            <w:tcW w:w="709" w:type="dxa"/>
            <w:tcBorders>
              <w:top w:val="single" w:sz="6" w:space="0" w:color="auto"/>
              <w:bottom w:val="single" w:sz="6" w:space="0" w:color="auto"/>
            </w:tcBorders>
            <w:vAlign w:val="center"/>
          </w:tcPr>
          <w:p w14:paraId="2D975EAE" w14:textId="77777777" w:rsidR="00FA4A47" w:rsidRDefault="00FA4A47" w:rsidP="00FA4A47">
            <w:pPr>
              <w:pStyle w:val="Tabletextcentred"/>
            </w:pPr>
          </w:p>
        </w:tc>
        <w:tc>
          <w:tcPr>
            <w:tcW w:w="709" w:type="dxa"/>
            <w:tcBorders>
              <w:top w:val="single" w:sz="6" w:space="0" w:color="auto"/>
              <w:bottom w:val="single" w:sz="6" w:space="0" w:color="auto"/>
            </w:tcBorders>
            <w:vAlign w:val="center"/>
          </w:tcPr>
          <w:p w14:paraId="23180F61" w14:textId="25B3C62B" w:rsidR="00FA4A47" w:rsidRPr="00513188" w:rsidRDefault="00FA4A47" w:rsidP="00FA4A47">
            <w:pPr>
              <w:pStyle w:val="Tabletextcentred"/>
            </w:pPr>
          </w:p>
        </w:tc>
        <w:tc>
          <w:tcPr>
            <w:tcW w:w="659" w:type="dxa"/>
            <w:tcBorders>
              <w:top w:val="single" w:sz="6" w:space="0" w:color="auto"/>
              <w:bottom w:val="single" w:sz="6" w:space="0" w:color="auto"/>
            </w:tcBorders>
            <w:vAlign w:val="center"/>
          </w:tcPr>
          <w:p w14:paraId="1FEE2A49" w14:textId="77777777" w:rsidR="00FA4A47" w:rsidRDefault="00FA4A47" w:rsidP="00FA4A47">
            <w:pPr>
              <w:spacing w:after="0"/>
            </w:pPr>
          </w:p>
        </w:tc>
        <w:tc>
          <w:tcPr>
            <w:tcW w:w="659" w:type="dxa"/>
            <w:tcBorders>
              <w:top w:val="single" w:sz="6" w:space="0" w:color="auto"/>
              <w:bottom w:val="single" w:sz="6" w:space="0" w:color="auto"/>
            </w:tcBorders>
            <w:vAlign w:val="center"/>
          </w:tcPr>
          <w:p w14:paraId="0ED8E3AD" w14:textId="77777777" w:rsidR="00FA4A47" w:rsidRDefault="00FA4A47" w:rsidP="00FA4A47">
            <w:pPr>
              <w:spacing w:after="0"/>
            </w:pPr>
          </w:p>
        </w:tc>
      </w:tr>
      <w:tr w:rsidR="00FA4A47" w14:paraId="058C511A" w14:textId="77777777" w:rsidTr="00FA4A47">
        <w:trPr>
          <w:cantSplit/>
        </w:trPr>
        <w:tc>
          <w:tcPr>
            <w:tcW w:w="1418" w:type="dxa"/>
            <w:tcBorders>
              <w:top w:val="single" w:sz="6" w:space="0" w:color="auto"/>
              <w:bottom w:val="single" w:sz="6" w:space="0" w:color="auto"/>
            </w:tcBorders>
            <w:vAlign w:val="center"/>
          </w:tcPr>
          <w:p w14:paraId="5988AA1F" w14:textId="731017E7" w:rsidR="00FA4A47" w:rsidRPr="00597889" w:rsidRDefault="00FA4A47" w:rsidP="00FA4A47">
            <w:pPr>
              <w:spacing w:after="0"/>
              <w:rPr>
                <w:rFonts w:asciiTheme="majorHAnsi" w:eastAsiaTheme="minorEastAsia" w:hAnsiTheme="majorHAnsi" w:cs="Arial"/>
                <w:b/>
                <w:snapToGrid w:val="0"/>
                <w:sz w:val="19"/>
                <w:szCs w:val="19"/>
                <w:lang w:val="en-US"/>
              </w:rPr>
            </w:pPr>
            <w:r w:rsidRPr="00597889">
              <w:rPr>
                <w:rFonts w:asciiTheme="majorHAnsi" w:eastAsiaTheme="minorEastAsia" w:hAnsiTheme="majorHAnsi" w:cs="Arial"/>
                <w:b/>
                <w:snapToGrid w:val="0"/>
                <w:sz w:val="19"/>
                <w:szCs w:val="19"/>
                <w:lang w:val="en-US"/>
              </w:rPr>
              <w:t>Service level 3</w:t>
            </w:r>
          </w:p>
        </w:tc>
        <w:tc>
          <w:tcPr>
            <w:tcW w:w="709" w:type="dxa"/>
            <w:tcBorders>
              <w:top w:val="single" w:sz="6" w:space="0" w:color="auto"/>
              <w:bottom w:val="single" w:sz="6" w:space="0" w:color="auto"/>
            </w:tcBorders>
            <w:vAlign w:val="center"/>
          </w:tcPr>
          <w:p w14:paraId="6AF354CE" w14:textId="4B71E15E" w:rsidR="00FA4A47" w:rsidRPr="004C6708" w:rsidRDefault="00FA4A47" w:rsidP="00FA4A47">
            <w:pPr>
              <w:spacing w:after="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97.62</w:t>
            </w:r>
            <w:r w:rsidRPr="004C6708">
              <w:rPr>
                <w:rFonts w:asciiTheme="majorHAnsi" w:eastAsiaTheme="minorEastAsia" w:hAnsiTheme="majorHAnsi" w:cs="Arial"/>
                <w:snapToGrid w:val="0"/>
                <w:sz w:val="19"/>
                <w:szCs w:val="19"/>
                <w:lang w:val="en-US"/>
              </w:rPr>
              <w:t>%</w:t>
            </w:r>
          </w:p>
        </w:tc>
        <w:tc>
          <w:tcPr>
            <w:tcW w:w="708" w:type="dxa"/>
            <w:tcBorders>
              <w:top w:val="single" w:sz="6" w:space="0" w:color="auto"/>
              <w:bottom w:val="single" w:sz="6" w:space="0" w:color="auto"/>
            </w:tcBorders>
            <w:vAlign w:val="center"/>
          </w:tcPr>
          <w:p w14:paraId="1409521C" w14:textId="6ADFB514" w:rsidR="00FA4A47" w:rsidRDefault="00FA4A47" w:rsidP="00FA4A47">
            <w:pPr>
              <w:spacing w:after="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97.45</w:t>
            </w:r>
            <w:r w:rsidRPr="004C6708">
              <w:rPr>
                <w:rFonts w:asciiTheme="majorHAnsi" w:eastAsiaTheme="minorEastAsia" w:hAnsiTheme="majorHAnsi" w:cs="Arial"/>
                <w:snapToGrid w:val="0"/>
                <w:sz w:val="19"/>
                <w:szCs w:val="19"/>
                <w:lang w:val="en-US"/>
              </w:rPr>
              <w:t>%</w:t>
            </w:r>
          </w:p>
        </w:tc>
        <w:tc>
          <w:tcPr>
            <w:tcW w:w="709" w:type="dxa"/>
            <w:tcBorders>
              <w:top w:val="single" w:sz="6" w:space="0" w:color="auto"/>
              <w:bottom w:val="single" w:sz="6" w:space="0" w:color="auto"/>
            </w:tcBorders>
            <w:vAlign w:val="center"/>
          </w:tcPr>
          <w:p w14:paraId="449FA59B" w14:textId="2332A99E" w:rsidR="00FA4A47" w:rsidRDefault="00FA4A47" w:rsidP="00FA4A47">
            <w:pPr>
              <w:spacing w:after="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97.28</w:t>
            </w:r>
            <w:r w:rsidRPr="004C6708">
              <w:rPr>
                <w:rFonts w:asciiTheme="majorHAnsi" w:eastAsiaTheme="minorEastAsia" w:hAnsiTheme="majorHAnsi" w:cs="Arial"/>
                <w:snapToGrid w:val="0"/>
                <w:sz w:val="19"/>
                <w:szCs w:val="19"/>
                <w:lang w:val="en-US"/>
              </w:rPr>
              <w:t>%</w:t>
            </w:r>
          </w:p>
        </w:tc>
        <w:tc>
          <w:tcPr>
            <w:tcW w:w="709" w:type="dxa"/>
            <w:tcBorders>
              <w:top w:val="single" w:sz="6" w:space="0" w:color="auto"/>
              <w:bottom w:val="single" w:sz="6" w:space="0" w:color="auto"/>
            </w:tcBorders>
            <w:vAlign w:val="center"/>
          </w:tcPr>
          <w:p w14:paraId="3BA1164F" w14:textId="77777777" w:rsidR="00FA4A47" w:rsidRPr="00513188" w:rsidRDefault="00FA4A47" w:rsidP="00FA4A47">
            <w:pPr>
              <w:spacing w:after="0"/>
              <w:jc w:val="center"/>
            </w:pPr>
          </w:p>
        </w:tc>
        <w:tc>
          <w:tcPr>
            <w:tcW w:w="709" w:type="dxa"/>
            <w:tcBorders>
              <w:top w:val="single" w:sz="6" w:space="0" w:color="auto"/>
              <w:bottom w:val="single" w:sz="6" w:space="0" w:color="auto"/>
            </w:tcBorders>
            <w:vAlign w:val="center"/>
          </w:tcPr>
          <w:p w14:paraId="2DE196DD" w14:textId="77777777" w:rsidR="00FA4A47" w:rsidRPr="00513188" w:rsidRDefault="00FA4A47" w:rsidP="00FA4A47">
            <w:pPr>
              <w:spacing w:after="0"/>
              <w:jc w:val="center"/>
            </w:pPr>
          </w:p>
        </w:tc>
        <w:tc>
          <w:tcPr>
            <w:tcW w:w="708" w:type="dxa"/>
            <w:tcBorders>
              <w:top w:val="single" w:sz="6" w:space="0" w:color="auto"/>
              <w:bottom w:val="single" w:sz="6" w:space="0" w:color="auto"/>
            </w:tcBorders>
            <w:vAlign w:val="center"/>
          </w:tcPr>
          <w:p w14:paraId="42655EAC" w14:textId="77777777" w:rsidR="00FA4A47" w:rsidRPr="00513188" w:rsidRDefault="00FA4A47" w:rsidP="00FA4A47">
            <w:pPr>
              <w:spacing w:after="0"/>
              <w:jc w:val="center"/>
            </w:pPr>
          </w:p>
        </w:tc>
        <w:tc>
          <w:tcPr>
            <w:tcW w:w="567" w:type="dxa"/>
            <w:tcBorders>
              <w:top w:val="single" w:sz="6" w:space="0" w:color="auto"/>
              <w:bottom w:val="single" w:sz="6" w:space="0" w:color="auto"/>
            </w:tcBorders>
            <w:vAlign w:val="center"/>
          </w:tcPr>
          <w:p w14:paraId="45EDC3C7" w14:textId="77777777" w:rsidR="00FA4A47" w:rsidRDefault="00FA4A47" w:rsidP="00FA4A47">
            <w:pPr>
              <w:pStyle w:val="Tabletextcentred"/>
            </w:pPr>
          </w:p>
        </w:tc>
        <w:tc>
          <w:tcPr>
            <w:tcW w:w="709" w:type="dxa"/>
            <w:tcBorders>
              <w:top w:val="single" w:sz="6" w:space="0" w:color="auto"/>
              <w:bottom w:val="single" w:sz="6" w:space="0" w:color="auto"/>
            </w:tcBorders>
            <w:vAlign w:val="center"/>
          </w:tcPr>
          <w:p w14:paraId="4D7C7439" w14:textId="77777777" w:rsidR="00FA4A47" w:rsidRDefault="00FA4A47" w:rsidP="00FA4A47">
            <w:pPr>
              <w:pStyle w:val="Tabletextcentred"/>
            </w:pPr>
          </w:p>
        </w:tc>
        <w:tc>
          <w:tcPr>
            <w:tcW w:w="709" w:type="dxa"/>
            <w:tcBorders>
              <w:top w:val="single" w:sz="6" w:space="0" w:color="auto"/>
              <w:bottom w:val="single" w:sz="6" w:space="0" w:color="auto"/>
            </w:tcBorders>
            <w:vAlign w:val="center"/>
          </w:tcPr>
          <w:p w14:paraId="3A837AC3" w14:textId="77777777" w:rsidR="00FA4A47" w:rsidRDefault="00FA4A47" w:rsidP="00FA4A47">
            <w:pPr>
              <w:pStyle w:val="Tabletextcentred"/>
            </w:pPr>
          </w:p>
        </w:tc>
        <w:tc>
          <w:tcPr>
            <w:tcW w:w="709" w:type="dxa"/>
            <w:tcBorders>
              <w:top w:val="single" w:sz="6" w:space="0" w:color="auto"/>
              <w:bottom w:val="single" w:sz="6" w:space="0" w:color="auto"/>
            </w:tcBorders>
            <w:vAlign w:val="center"/>
          </w:tcPr>
          <w:p w14:paraId="61094C53" w14:textId="77777777" w:rsidR="00FA4A47" w:rsidRPr="00513188" w:rsidRDefault="00FA4A47" w:rsidP="00FA4A47">
            <w:pPr>
              <w:pStyle w:val="Tabletextcentred"/>
            </w:pPr>
          </w:p>
        </w:tc>
        <w:tc>
          <w:tcPr>
            <w:tcW w:w="659" w:type="dxa"/>
            <w:tcBorders>
              <w:top w:val="single" w:sz="6" w:space="0" w:color="auto"/>
            </w:tcBorders>
            <w:vAlign w:val="center"/>
          </w:tcPr>
          <w:p w14:paraId="3CC202EA" w14:textId="77777777" w:rsidR="00FA4A47" w:rsidRDefault="00FA4A47" w:rsidP="00FA4A47">
            <w:pPr>
              <w:spacing w:after="0"/>
            </w:pPr>
          </w:p>
        </w:tc>
        <w:tc>
          <w:tcPr>
            <w:tcW w:w="659" w:type="dxa"/>
            <w:tcBorders>
              <w:top w:val="single" w:sz="6" w:space="0" w:color="auto"/>
            </w:tcBorders>
            <w:vAlign w:val="center"/>
          </w:tcPr>
          <w:p w14:paraId="79F6A106" w14:textId="77777777" w:rsidR="00FA4A47" w:rsidRDefault="00FA4A47" w:rsidP="00FA4A47">
            <w:pPr>
              <w:spacing w:after="0"/>
            </w:pPr>
          </w:p>
        </w:tc>
      </w:tr>
    </w:tbl>
    <w:p w14:paraId="0604D671" w14:textId="77777777" w:rsidR="00FA4A47" w:rsidRDefault="00FA4A47" w:rsidP="00FA4A47">
      <w:pPr>
        <w:spacing w:after="0"/>
      </w:pPr>
    </w:p>
    <w:p w14:paraId="073989CB" w14:textId="515F1619" w:rsidR="00A35060" w:rsidRDefault="00A35060" w:rsidP="009221A3">
      <w:r w:rsidRPr="000C5347">
        <w:t>The relay service provider has reported fully meeting all service levels in quarter</w:t>
      </w:r>
      <w:r w:rsidR="000C6CF8">
        <w:t xml:space="preserve"> 1</w:t>
      </w:r>
      <w:r w:rsidRPr="000C5347">
        <w:t xml:space="preserve"> in </w:t>
      </w:r>
      <w:r w:rsidR="009221A3">
        <w:t>2016–17</w:t>
      </w:r>
      <w:r w:rsidRPr="000C5347">
        <w:t>. The Department considers the performance of the relay service provider to be consistent with its obligations i</w:t>
      </w:r>
      <w:r w:rsidR="009221A3">
        <w:t>n the Relay Services Agreement.</w:t>
      </w:r>
    </w:p>
    <w:p w14:paraId="7285109E" w14:textId="77777777" w:rsidR="005B5C58" w:rsidRPr="003D09F1" w:rsidRDefault="005B5C58" w:rsidP="0010018F">
      <w:pPr>
        <w:pStyle w:val="Heading2"/>
      </w:pPr>
      <w:r w:rsidRPr="003D09F1">
        <w:t xml:space="preserve">Service level </w:t>
      </w:r>
      <w:r w:rsidRPr="0010018F">
        <w:t>performance</w:t>
      </w:r>
      <w:r w:rsidRPr="003D09F1">
        <w:t>: outreach service provider</w:t>
      </w:r>
    </w:p>
    <w:p w14:paraId="2345F2D7" w14:textId="6723B39D" w:rsidR="00A35060" w:rsidRDefault="00A35060" w:rsidP="009221A3">
      <w:r w:rsidRPr="000C5347">
        <w:t xml:space="preserve">The outreach service provider’s performance in </w:t>
      </w:r>
      <w:r w:rsidR="009221A3">
        <w:t>2016–17</w:t>
      </w:r>
      <w:r w:rsidRPr="000C5347">
        <w:t xml:space="preserve"> </w:t>
      </w:r>
      <w:r w:rsidR="00263527">
        <w:t>is</w:t>
      </w:r>
      <w:r w:rsidRPr="000C5347">
        <w:t xml:space="preserve"> measured monthly against the following service levels:</w:t>
      </w:r>
    </w:p>
    <w:p w14:paraId="0B472BA5" w14:textId="7A9E4F4E" w:rsidR="00A35060" w:rsidRPr="000C5347" w:rsidRDefault="00A35060" w:rsidP="009221A3">
      <w:pPr>
        <w:pStyle w:val="Bulletlevel1"/>
      </w:pPr>
      <w:r w:rsidRPr="000C5347">
        <w:rPr>
          <w:b/>
        </w:rPr>
        <w:t>Service level 1:</w:t>
      </w:r>
      <w:r w:rsidRPr="000C5347">
        <w:t xml:space="preserve"> the service contractor personnel must answer greater than 85 per cent of all telephone calls from </w:t>
      </w:r>
      <w:r w:rsidR="00CE78A0">
        <w:t>H</w:t>
      </w:r>
      <w:r w:rsidRPr="000C5347">
        <w:t xml:space="preserve">elp </w:t>
      </w:r>
      <w:r w:rsidR="00CE78A0">
        <w:t>D</w:t>
      </w:r>
      <w:r w:rsidRPr="000C5347">
        <w:t xml:space="preserve">esk </w:t>
      </w:r>
      <w:r w:rsidR="00CE78A0">
        <w:t>U</w:t>
      </w:r>
      <w:r w:rsidRPr="000C5347">
        <w:t>sers during the hours of operation of the Help Desk within 90 seconds.</w:t>
      </w:r>
      <w:r w:rsidR="009221A3">
        <w:t xml:space="preserve"> </w:t>
      </w:r>
      <w:r w:rsidRPr="000C5347">
        <w:t>Any call other than a call that is ended by the user hanging up within 5 seconds from the first ring tone of the call is included in measurement of compliance with this Service L</w:t>
      </w:r>
      <w:r w:rsidR="00774F8D">
        <w:t>evel.</w:t>
      </w:r>
    </w:p>
    <w:p w14:paraId="44621CE7" w14:textId="26556EEE" w:rsidR="00A35060" w:rsidRPr="000C5347" w:rsidRDefault="00A35060" w:rsidP="009221A3">
      <w:pPr>
        <w:pStyle w:val="Bulletlevel1"/>
      </w:pPr>
      <w:r w:rsidRPr="000C5347">
        <w:rPr>
          <w:b/>
        </w:rPr>
        <w:t>Service level 2:</w:t>
      </w:r>
      <w:r w:rsidRPr="000C5347">
        <w:t xml:space="preserve"> the service contractor personnel must acknowledge greater than 85 per cent of all enquiries received through public NRS email addresses or forms from the NRS website or from </w:t>
      </w:r>
      <w:r w:rsidR="00CE78A0">
        <w:t>H</w:t>
      </w:r>
      <w:r w:rsidRPr="000C5347">
        <w:t>elp</w:t>
      </w:r>
      <w:r w:rsidR="00CE78A0">
        <w:t xml:space="preserve"> D</w:t>
      </w:r>
      <w:r w:rsidRPr="000C5347">
        <w:t xml:space="preserve">esk </w:t>
      </w:r>
      <w:r w:rsidR="00CE78A0">
        <w:t>U</w:t>
      </w:r>
      <w:r w:rsidRPr="000C5347">
        <w:t xml:space="preserve">sers within 4 hours where the enquiry is received before 2 pm (AEST) on a business day or otherwise by 12 noon </w:t>
      </w:r>
      <w:r w:rsidR="00774F8D">
        <w:t>(AEST) on the next business day.</w:t>
      </w:r>
    </w:p>
    <w:p w14:paraId="02FB9A18" w14:textId="6924557A" w:rsidR="00A35060" w:rsidRPr="000C5347" w:rsidRDefault="00A35060" w:rsidP="009221A3">
      <w:pPr>
        <w:pStyle w:val="Bulletlevel1"/>
      </w:pPr>
      <w:r w:rsidRPr="000C5347">
        <w:rPr>
          <w:b/>
        </w:rPr>
        <w:t>Service level 3:</w:t>
      </w:r>
      <w:r w:rsidRPr="000C5347">
        <w:t xml:space="preserve"> the service contractor personnel must resolve greater than 85 per cent of all enquiries received from </w:t>
      </w:r>
      <w:r w:rsidR="00CE78A0">
        <w:t>H</w:t>
      </w:r>
      <w:r w:rsidRPr="000C5347">
        <w:t>elp</w:t>
      </w:r>
      <w:r w:rsidR="00CE78A0">
        <w:t xml:space="preserve"> D</w:t>
      </w:r>
      <w:r w:rsidRPr="000C5347">
        <w:t xml:space="preserve">esk </w:t>
      </w:r>
      <w:r w:rsidR="00CE78A0">
        <w:t>U</w:t>
      </w:r>
      <w:r w:rsidRPr="000C5347">
        <w:t>sers by telephone (that are not able to be resolved while on the call), website or email, that it is able to resolve without input from the Commonwealth or the relay service provider or a third pa</w:t>
      </w:r>
      <w:r w:rsidR="00774F8D">
        <w:t>rty within 2 business days.</w:t>
      </w:r>
    </w:p>
    <w:p w14:paraId="09534BD6" w14:textId="77777777" w:rsidR="00A35060" w:rsidRPr="000C5347" w:rsidRDefault="00A35060" w:rsidP="009221A3">
      <w:pPr>
        <w:pStyle w:val="Bulletlevel1"/>
      </w:pPr>
      <w:r w:rsidRPr="000C5347">
        <w:rPr>
          <w:b/>
        </w:rPr>
        <w:t>Service level 4:</w:t>
      </w:r>
      <w:r w:rsidRPr="000C5347">
        <w:t xml:space="preserve"> the service contractor personnel must resolve greater than 85 per cent of all complaints received during the month within the timeframes required under the agreement (including the complaint handling policy) for the type of complaint.</w:t>
      </w:r>
    </w:p>
    <w:p w14:paraId="6478AB39" w14:textId="137BC8B9" w:rsidR="00A35060" w:rsidRPr="000C5347" w:rsidRDefault="00A35060" w:rsidP="009221A3">
      <w:pPr>
        <w:keepNext/>
      </w:pPr>
      <w:r w:rsidRPr="000C5347">
        <w:t xml:space="preserve">The outreach service </w:t>
      </w:r>
      <w:r w:rsidR="00ED2F6E" w:rsidRPr="000C5347">
        <w:t>provider’s</w:t>
      </w:r>
      <w:r w:rsidR="00ED2F6E">
        <w:t xml:space="preserve"> reported </w:t>
      </w:r>
      <w:r w:rsidRPr="000C5347">
        <w:t xml:space="preserve">performance against these service levels is outlined in </w:t>
      </w:r>
      <w:r>
        <w:t xml:space="preserve">the </w:t>
      </w:r>
      <w:r w:rsidRPr="000C5347">
        <w:t>table below:</w:t>
      </w:r>
    </w:p>
    <w:p w14:paraId="728510A5" w14:textId="77777777" w:rsidR="005B5C58" w:rsidRPr="00A0108A" w:rsidRDefault="00333144" w:rsidP="00E541EC">
      <w:pPr>
        <w:pStyle w:val="Tablefigureheading"/>
      </w:pPr>
      <w:r>
        <w:t xml:space="preserve">Table 3. </w:t>
      </w:r>
      <w:r w:rsidR="005B5C58" w:rsidRPr="00A0108A">
        <w:t>Service level performance: outreach service provider</w:t>
      </w:r>
    </w:p>
    <w:tbl>
      <w:tblPr>
        <w:tblStyle w:val="TableGrid"/>
        <w:tblW w:w="9682" w:type="dxa"/>
        <w:tblBorders>
          <w:top w:val="none" w:sz="0" w:space="0" w:color="auto"/>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Description w:val="Table 3. Service level performance: outreach service provider"/>
      </w:tblPr>
      <w:tblGrid>
        <w:gridCol w:w="1418"/>
        <w:gridCol w:w="709"/>
        <w:gridCol w:w="708"/>
        <w:gridCol w:w="709"/>
        <w:gridCol w:w="709"/>
        <w:gridCol w:w="709"/>
        <w:gridCol w:w="708"/>
        <w:gridCol w:w="567"/>
        <w:gridCol w:w="709"/>
        <w:gridCol w:w="709"/>
        <w:gridCol w:w="709"/>
        <w:gridCol w:w="659"/>
        <w:gridCol w:w="659"/>
      </w:tblGrid>
      <w:tr w:rsidR="00D01548" w:rsidRPr="00FA4A47" w14:paraId="6BD44415" w14:textId="77777777" w:rsidTr="00BC5CA2">
        <w:trPr>
          <w:cantSplit/>
          <w:tblHeader/>
        </w:trPr>
        <w:tc>
          <w:tcPr>
            <w:tcW w:w="1418" w:type="dxa"/>
            <w:tcBorders>
              <w:bottom w:val="single" w:sz="6" w:space="0" w:color="auto"/>
            </w:tcBorders>
            <w:shd w:val="clear" w:color="auto" w:fill="D6F2FA"/>
            <w:vAlign w:val="center"/>
          </w:tcPr>
          <w:p w14:paraId="30BEB945" w14:textId="77777777" w:rsidR="00D01548" w:rsidRPr="00FA4A47" w:rsidRDefault="00D01548" w:rsidP="00BC5CA2">
            <w:pPr>
              <w:pStyle w:val="Tableheading"/>
              <w:jc w:val="center"/>
            </w:pPr>
          </w:p>
        </w:tc>
        <w:tc>
          <w:tcPr>
            <w:tcW w:w="709" w:type="dxa"/>
            <w:tcBorders>
              <w:bottom w:val="single" w:sz="6" w:space="0" w:color="auto"/>
            </w:tcBorders>
            <w:shd w:val="clear" w:color="auto" w:fill="D6F2FA"/>
            <w:vAlign w:val="center"/>
          </w:tcPr>
          <w:p w14:paraId="1FD647A3" w14:textId="77777777" w:rsidR="00D01548" w:rsidRPr="00FA4A47" w:rsidRDefault="00D01548" w:rsidP="00BC5CA2">
            <w:pPr>
              <w:pStyle w:val="Tableheading"/>
              <w:jc w:val="center"/>
            </w:pPr>
            <w:r w:rsidRPr="00FA4A47">
              <w:rPr>
                <w:rStyle w:val="Bold"/>
                <w:rFonts w:asciiTheme="majorHAnsi" w:eastAsiaTheme="minorEastAsia" w:hAnsiTheme="majorHAnsi" w:cs="Arial"/>
                <w:b/>
                <w:bCs/>
                <w:sz w:val="19"/>
                <w:szCs w:val="19"/>
              </w:rPr>
              <w:t>Jul-16</w:t>
            </w:r>
          </w:p>
        </w:tc>
        <w:tc>
          <w:tcPr>
            <w:tcW w:w="708" w:type="dxa"/>
            <w:tcBorders>
              <w:bottom w:val="single" w:sz="6" w:space="0" w:color="auto"/>
            </w:tcBorders>
            <w:shd w:val="clear" w:color="auto" w:fill="D6F2FA"/>
            <w:vAlign w:val="center"/>
          </w:tcPr>
          <w:p w14:paraId="7A86FB33" w14:textId="77777777" w:rsidR="00D01548" w:rsidRPr="00FA4A47" w:rsidRDefault="00D01548" w:rsidP="00BC5CA2">
            <w:pPr>
              <w:pStyle w:val="Tableheading"/>
              <w:jc w:val="center"/>
            </w:pPr>
            <w:r w:rsidRPr="00FA4A47">
              <w:rPr>
                <w:rStyle w:val="Bold"/>
                <w:rFonts w:asciiTheme="majorHAnsi" w:eastAsiaTheme="minorEastAsia" w:hAnsiTheme="majorHAnsi" w:cs="Arial"/>
                <w:b/>
                <w:bCs/>
                <w:sz w:val="19"/>
                <w:szCs w:val="19"/>
              </w:rPr>
              <w:t>Aug-16</w:t>
            </w:r>
          </w:p>
        </w:tc>
        <w:tc>
          <w:tcPr>
            <w:tcW w:w="709" w:type="dxa"/>
            <w:tcBorders>
              <w:bottom w:val="single" w:sz="6" w:space="0" w:color="auto"/>
            </w:tcBorders>
            <w:shd w:val="clear" w:color="auto" w:fill="D6F2FA"/>
            <w:vAlign w:val="center"/>
          </w:tcPr>
          <w:p w14:paraId="275FBC34" w14:textId="77777777" w:rsidR="00D01548" w:rsidRPr="00FA4A47" w:rsidRDefault="00D01548" w:rsidP="00BC5CA2">
            <w:pPr>
              <w:pStyle w:val="Tableheading"/>
              <w:jc w:val="center"/>
            </w:pPr>
            <w:r w:rsidRPr="00FA4A47">
              <w:rPr>
                <w:rStyle w:val="Bold"/>
                <w:rFonts w:asciiTheme="majorHAnsi" w:eastAsiaTheme="minorEastAsia" w:hAnsiTheme="majorHAnsi" w:cs="Arial"/>
                <w:b/>
                <w:bCs/>
                <w:sz w:val="19"/>
                <w:szCs w:val="19"/>
              </w:rPr>
              <w:t>Sep-16</w:t>
            </w:r>
          </w:p>
        </w:tc>
        <w:tc>
          <w:tcPr>
            <w:tcW w:w="709" w:type="dxa"/>
            <w:tcBorders>
              <w:bottom w:val="single" w:sz="6" w:space="0" w:color="auto"/>
            </w:tcBorders>
            <w:shd w:val="clear" w:color="auto" w:fill="D6F2FA"/>
            <w:vAlign w:val="center"/>
          </w:tcPr>
          <w:p w14:paraId="1EC3E74B" w14:textId="77777777" w:rsidR="00D01548" w:rsidRPr="00FA4A47" w:rsidRDefault="00D01548" w:rsidP="00BC5CA2">
            <w:pPr>
              <w:pStyle w:val="Tableheading"/>
              <w:jc w:val="center"/>
            </w:pPr>
            <w:r w:rsidRPr="00FA4A47">
              <w:rPr>
                <w:rStyle w:val="Bold"/>
                <w:rFonts w:asciiTheme="majorHAnsi" w:eastAsiaTheme="minorEastAsia" w:hAnsiTheme="majorHAnsi" w:cs="Arial"/>
                <w:b/>
                <w:bCs/>
                <w:sz w:val="19"/>
                <w:szCs w:val="19"/>
              </w:rPr>
              <w:t>Oct-16</w:t>
            </w:r>
          </w:p>
        </w:tc>
        <w:tc>
          <w:tcPr>
            <w:tcW w:w="709" w:type="dxa"/>
            <w:tcBorders>
              <w:bottom w:val="single" w:sz="6" w:space="0" w:color="auto"/>
            </w:tcBorders>
            <w:shd w:val="clear" w:color="auto" w:fill="D6F2FA"/>
            <w:vAlign w:val="center"/>
          </w:tcPr>
          <w:p w14:paraId="5C8CD7E6" w14:textId="77777777" w:rsidR="00D01548" w:rsidRPr="00FA4A47" w:rsidRDefault="00D01548" w:rsidP="00BC5CA2">
            <w:pPr>
              <w:pStyle w:val="Tableheading"/>
              <w:jc w:val="center"/>
            </w:pPr>
            <w:r w:rsidRPr="00FA4A47">
              <w:rPr>
                <w:rStyle w:val="Bold"/>
                <w:rFonts w:asciiTheme="majorHAnsi" w:eastAsiaTheme="minorEastAsia" w:hAnsiTheme="majorHAnsi" w:cs="Arial"/>
                <w:b/>
                <w:bCs/>
                <w:sz w:val="19"/>
                <w:szCs w:val="19"/>
              </w:rPr>
              <w:t>Nov-16</w:t>
            </w:r>
          </w:p>
        </w:tc>
        <w:tc>
          <w:tcPr>
            <w:tcW w:w="708" w:type="dxa"/>
            <w:tcBorders>
              <w:bottom w:val="single" w:sz="6" w:space="0" w:color="auto"/>
            </w:tcBorders>
            <w:shd w:val="clear" w:color="auto" w:fill="D6F2FA"/>
            <w:vAlign w:val="center"/>
          </w:tcPr>
          <w:p w14:paraId="2243807A" w14:textId="77777777" w:rsidR="00D01548" w:rsidRPr="00FA4A47" w:rsidRDefault="00D01548" w:rsidP="00BC5CA2">
            <w:pPr>
              <w:pStyle w:val="Tableheading"/>
              <w:jc w:val="center"/>
            </w:pPr>
            <w:r w:rsidRPr="00FA4A47">
              <w:rPr>
                <w:rStyle w:val="Bold"/>
                <w:rFonts w:asciiTheme="majorHAnsi" w:eastAsiaTheme="minorEastAsia" w:hAnsiTheme="majorHAnsi" w:cs="Arial"/>
                <w:b/>
                <w:bCs/>
                <w:sz w:val="19"/>
                <w:szCs w:val="19"/>
              </w:rPr>
              <w:t>Dec-16</w:t>
            </w:r>
          </w:p>
        </w:tc>
        <w:tc>
          <w:tcPr>
            <w:tcW w:w="567" w:type="dxa"/>
            <w:tcBorders>
              <w:bottom w:val="single" w:sz="6" w:space="0" w:color="auto"/>
            </w:tcBorders>
            <w:shd w:val="clear" w:color="auto" w:fill="D6F2FA"/>
            <w:vAlign w:val="center"/>
          </w:tcPr>
          <w:p w14:paraId="12A48DB5" w14:textId="77777777" w:rsidR="00D01548" w:rsidRPr="00FA4A47" w:rsidRDefault="00D01548" w:rsidP="00BC5CA2">
            <w:pPr>
              <w:pStyle w:val="Tableheadingcentred"/>
            </w:pPr>
            <w:r w:rsidRPr="00FA4A47">
              <w:rPr>
                <w:rStyle w:val="Bold"/>
                <w:rFonts w:asciiTheme="majorHAnsi" w:eastAsiaTheme="minorEastAsia" w:hAnsiTheme="majorHAnsi" w:cs="Arial"/>
                <w:b/>
                <w:bCs/>
                <w:sz w:val="19"/>
                <w:szCs w:val="19"/>
              </w:rPr>
              <w:t>Jan-17</w:t>
            </w:r>
          </w:p>
        </w:tc>
        <w:tc>
          <w:tcPr>
            <w:tcW w:w="709" w:type="dxa"/>
            <w:tcBorders>
              <w:bottom w:val="single" w:sz="6" w:space="0" w:color="auto"/>
            </w:tcBorders>
            <w:shd w:val="clear" w:color="auto" w:fill="D6F2FA"/>
            <w:vAlign w:val="center"/>
          </w:tcPr>
          <w:p w14:paraId="4DDD13DF" w14:textId="77777777" w:rsidR="00D01548" w:rsidRPr="00FA4A47" w:rsidRDefault="00D01548" w:rsidP="00BC5CA2">
            <w:pPr>
              <w:pStyle w:val="Tableheadingcentred"/>
            </w:pPr>
            <w:r w:rsidRPr="00FA4A47">
              <w:rPr>
                <w:rStyle w:val="Bold"/>
                <w:rFonts w:asciiTheme="majorHAnsi" w:eastAsiaTheme="minorEastAsia" w:hAnsiTheme="majorHAnsi" w:cs="Arial"/>
                <w:b/>
                <w:bCs/>
                <w:sz w:val="19"/>
                <w:szCs w:val="19"/>
              </w:rPr>
              <w:t>Feb-17</w:t>
            </w:r>
          </w:p>
        </w:tc>
        <w:tc>
          <w:tcPr>
            <w:tcW w:w="709" w:type="dxa"/>
            <w:tcBorders>
              <w:bottom w:val="single" w:sz="6" w:space="0" w:color="auto"/>
            </w:tcBorders>
            <w:shd w:val="clear" w:color="auto" w:fill="D6F2FA"/>
            <w:vAlign w:val="center"/>
          </w:tcPr>
          <w:p w14:paraId="355037EA" w14:textId="77777777" w:rsidR="00D01548" w:rsidRPr="00FA4A47" w:rsidRDefault="00D01548" w:rsidP="00BC5CA2">
            <w:pPr>
              <w:pStyle w:val="Tableheadingcentred"/>
            </w:pPr>
            <w:r w:rsidRPr="00FA4A47">
              <w:rPr>
                <w:rStyle w:val="Bold"/>
                <w:rFonts w:asciiTheme="majorHAnsi" w:eastAsiaTheme="minorEastAsia" w:hAnsiTheme="majorHAnsi" w:cs="Arial"/>
                <w:b/>
                <w:bCs/>
                <w:sz w:val="19"/>
                <w:szCs w:val="19"/>
              </w:rPr>
              <w:t>Mar-17</w:t>
            </w:r>
          </w:p>
        </w:tc>
        <w:tc>
          <w:tcPr>
            <w:tcW w:w="709" w:type="dxa"/>
            <w:tcBorders>
              <w:bottom w:val="single" w:sz="6" w:space="0" w:color="auto"/>
            </w:tcBorders>
            <w:shd w:val="clear" w:color="auto" w:fill="D6F2FA"/>
            <w:vAlign w:val="center"/>
          </w:tcPr>
          <w:p w14:paraId="617DE70B" w14:textId="77777777" w:rsidR="00D01548" w:rsidRPr="00FA4A47" w:rsidRDefault="00D01548" w:rsidP="00BC5CA2">
            <w:pPr>
              <w:pStyle w:val="Tableheadingcentred"/>
            </w:pPr>
            <w:r w:rsidRPr="00FA4A47">
              <w:rPr>
                <w:rStyle w:val="Bold"/>
                <w:rFonts w:asciiTheme="majorHAnsi" w:eastAsiaTheme="minorEastAsia" w:hAnsiTheme="majorHAnsi" w:cs="Arial"/>
                <w:b/>
                <w:bCs/>
                <w:sz w:val="19"/>
                <w:szCs w:val="19"/>
              </w:rPr>
              <w:t>Apr-17</w:t>
            </w:r>
          </w:p>
        </w:tc>
        <w:tc>
          <w:tcPr>
            <w:tcW w:w="659" w:type="dxa"/>
            <w:tcBorders>
              <w:bottom w:val="single" w:sz="6" w:space="0" w:color="auto"/>
            </w:tcBorders>
            <w:shd w:val="clear" w:color="auto" w:fill="D6F2FA"/>
            <w:vAlign w:val="center"/>
          </w:tcPr>
          <w:p w14:paraId="36158570" w14:textId="77777777" w:rsidR="00D01548" w:rsidRPr="00FA4A47" w:rsidRDefault="00D01548" w:rsidP="00BC5CA2">
            <w:pPr>
              <w:spacing w:after="0"/>
              <w:rPr>
                <w:b/>
                <w:bCs/>
              </w:rPr>
            </w:pPr>
            <w:r w:rsidRPr="00FA4A47">
              <w:rPr>
                <w:rStyle w:val="Bold"/>
                <w:rFonts w:asciiTheme="majorHAnsi" w:eastAsiaTheme="minorEastAsia" w:hAnsiTheme="majorHAnsi" w:cs="Arial"/>
                <w:sz w:val="19"/>
                <w:szCs w:val="19"/>
              </w:rPr>
              <w:t>May-17</w:t>
            </w:r>
          </w:p>
        </w:tc>
        <w:tc>
          <w:tcPr>
            <w:tcW w:w="659" w:type="dxa"/>
            <w:tcBorders>
              <w:bottom w:val="single" w:sz="6" w:space="0" w:color="auto"/>
            </w:tcBorders>
            <w:shd w:val="clear" w:color="auto" w:fill="D6F2FA"/>
            <w:vAlign w:val="center"/>
          </w:tcPr>
          <w:p w14:paraId="72ACD780" w14:textId="77777777" w:rsidR="00D01548" w:rsidRPr="00FA4A47" w:rsidRDefault="00D01548" w:rsidP="00BC5CA2">
            <w:pPr>
              <w:spacing w:after="0"/>
              <w:rPr>
                <w:b/>
                <w:bCs/>
              </w:rPr>
            </w:pPr>
            <w:r w:rsidRPr="00FA4A47">
              <w:rPr>
                <w:rStyle w:val="Bold"/>
                <w:rFonts w:asciiTheme="majorHAnsi" w:eastAsiaTheme="minorEastAsia" w:hAnsiTheme="majorHAnsi" w:cs="Arial"/>
                <w:sz w:val="19"/>
                <w:szCs w:val="19"/>
              </w:rPr>
              <w:t>Jun-17</w:t>
            </w:r>
          </w:p>
        </w:tc>
      </w:tr>
      <w:tr w:rsidR="00D01548" w14:paraId="0EF135D2" w14:textId="77777777" w:rsidTr="00BC5CA2">
        <w:trPr>
          <w:cantSplit/>
        </w:trPr>
        <w:tc>
          <w:tcPr>
            <w:tcW w:w="1418" w:type="dxa"/>
            <w:tcBorders>
              <w:top w:val="single" w:sz="6" w:space="0" w:color="auto"/>
              <w:bottom w:val="single" w:sz="6" w:space="0" w:color="auto"/>
            </w:tcBorders>
            <w:vAlign w:val="center"/>
          </w:tcPr>
          <w:p w14:paraId="4944B9C3" w14:textId="14B7C708" w:rsidR="00D01548" w:rsidRDefault="00D01548" w:rsidP="00D01548">
            <w:pPr>
              <w:spacing w:after="0"/>
            </w:pPr>
            <w:r w:rsidRPr="000F768B">
              <w:rPr>
                <w:rFonts w:asciiTheme="majorHAnsi" w:eastAsiaTheme="minorEastAsia" w:hAnsiTheme="majorHAnsi" w:cs="Arial"/>
                <w:b/>
                <w:snapToGrid w:val="0"/>
                <w:sz w:val="19"/>
                <w:szCs w:val="19"/>
                <w:lang w:val="en-US"/>
              </w:rPr>
              <w:t>Service level 1</w:t>
            </w:r>
          </w:p>
        </w:tc>
        <w:tc>
          <w:tcPr>
            <w:tcW w:w="709" w:type="dxa"/>
            <w:tcBorders>
              <w:top w:val="single" w:sz="6" w:space="0" w:color="auto"/>
              <w:bottom w:val="single" w:sz="6" w:space="0" w:color="auto"/>
            </w:tcBorders>
            <w:vAlign w:val="center"/>
          </w:tcPr>
          <w:p w14:paraId="6C97497A" w14:textId="695B2F95" w:rsidR="00D01548" w:rsidRDefault="00D01548" w:rsidP="00D01548">
            <w:pPr>
              <w:spacing w:after="0"/>
              <w:jc w:val="center"/>
            </w:pPr>
            <w:r>
              <w:rPr>
                <w:rFonts w:asciiTheme="majorHAnsi" w:eastAsiaTheme="minorEastAsia" w:hAnsiTheme="majorHAnsi" w:cs="Arial"/>
                <w:snapToGrid w:val="0"/>
                <w:sz w:val="19"/>
                <w:szCs w:val="19"/>
                <w:lang w:val="en-US"/>
              </w:rPr>
              <w:t>99.62</w:t>
            </w:r>
            <w:r w:rsidRPr="000F768B">
              <w:rPr>
                <w:rFonts w:asciiTheme="majorHAnsi" w:eastAsiaTheme="minorEastAsia" w:hAnsiTheme="majorHAnsi" w:cs="Arial"/>
                <w:snapToGrid w:val="0"/>
                <w:sz w:val="19"/>
                <w:szCs w:val="19"/>
                <w:lang w:val="en-US"/>
              </w:rPr>
              <w:t>%</w:t>
            </w:r>
          </w:p>
        </w:tc>
        <w:tc>
          <w:tcPr>
            <w:tcW w:w="708" w:type="dxa"/>
            <w:tcBorders>
              <w:top w:val="single" w:sz="6" w:space="0" w:color="auto"/>
              <w:bottom w:val="single" w:sz="6" w:space="0" w:color="auto"/>
            </w:tcBorders>
            <w:vAlign w:val="center"/>
          </w:tcPr>
          <w:p w14:paraId="02EAACC8" w14:textId="6A3D5160" w:rsidR="00D01548" w:rsidRDefault="00D01548" w:rsidP="00D01548">
            <w:pPr>
              <w:spacing w:after="0"/>
              <w:jc w:val="center"/>
            </w:pPr>
            <w:r>
              <w:rPr>
                <w:rFonts w:asciiTheme="majorHAnsi" w:eastAsiaTheme="minorEastAsia" w:hAnsiTheme="majorHAnsi" w:cs="Arial"/>
                <w:snapToGrid w:val="0"/>
                <w:sz w:val="19"/>
                <w:szCs w:val="19"/>
                <w:lang w:val="en-US"/>
              </w:rPr>
              <w:t>97.79</w:t>
            </w:r>
            <w:r w:rsidRPr="000F768B">
              <w:rPr>
                <w:rFonts w:asciiTheme="majorHAnsi" w:eastAsiaTheme="minorEastAsia" w:hAnsiTheme="majorHAnsi" w:cs="Arial"/>
                <w:snapToGrid w:val="0"/>
                <w:sz w:val="19"/>
                <w:szCs w:val="19"/>
                <w:lang w:val="en-US"/>
              </w:rPr>
              <w:t>%</w:t>
            </w:r>
          </w:p>
        </w:tc>
        <w:tc>
          <w:tcPr>
            <w:tcW w:w="709" w:type="dxa"/>
            <w:tcBorders>
              <w:top w:val="single" w:sz="6" w:space="0" w:color="auto"/>
              <w:bottom w:val="single" w:sz="6" w:space="0" w:color="auto"/>
            </w:tcBorders>
            <w:vAlign w:val="center"/>
          </w:tcPr>
          <w:p w14:paraId="7FF33803" w14:textId="4D67BF71" w:rsidR="00D01548" w:rsidRDefault="00D01548" w:rsidP="00D01548">
            <w:pPr>
              <w:spacing w:after="0"/>
              <w:jc w:val="center"/>
            </w:pPr>
            <w:r>
              <w:rPr>
                <w:rFonts w:asciiTheme="majorHAnsi" w:eastAsiaTheme="minorEastAsia" w:hAnsiTheme="majorHAnsi" w:cs="Arial"/>
                <w:snapToGrid w:val="0"/>
                <w:sz w:val="19"/>
                <w:szCs w:val="19"/>
                <w:lang w:val="en-US"/>
              </w:rPr>
              <w:t>99.84</w:t>
            </w:r>
            <w:r w:rsidRPr="000F768B">
              <w:rPr>
                <w:rFonts w:asciiTheme="majorHAnsi" w:eastAsiaTheme="minorEastAsia" w:hAnsiTheme="majorHAnsi" w:cs="Arial"/>
                <w:snapToGrid w:val="0"/>
                <w:sz w:val="19"/>
                <w:szCs w:val="19"/>
                <w:lang w:val="en-US"/>
              </w:rPr>
              <w:t>%</w:t>
            </w:r>
          </w:p>
        </w:tc>
        <w:tc>
          <w:tcPr>
            <w:tcW w:w="709" w:type="dxa"/>
            <w:tcBorders>
              <w:top w:val="single" w:sz="6" w:space="0" w:color="auto"/>
              <w:bottom w:val="single" w:sz="6" w:space="0" w:color="auto"/>
            </w:tcBorders>
            <w:vAlign w:val="center"/>
          </w:tcPr>
          <w:p w14:paraId="30B8D69C" w14:textId="77777777" w:rsidR="00D01548" w:rsidRDefault="00D01548" w:rsidP="00D01548">
            <w:pPr>
              <w:spacing w:after="0"/>
              <w:jc w:val="center"/>
            </w:pPr>
          </w:p>
        </w:tc>
        <w:tc>
          <w:tcPr>
            <w:tcW w:w="709" w:type="dxa"/>
            <w:tcBorders>
              <w:top w:val="single" w:sz="6" w:space="0" w:color="auto"/>
              <w:bottom w:val="single" w:sz="6" w:space="0" w:color="auto"/>
            </w:tcBorders>
            <w:vAlign w:val="center"/>
          </w:tcPr>
          <w:p w14:paraId="3E0DF178" w14:textId="77777777" w:rsidR="00D01548" w:rsidRDefault="00D01548" w:rsidP="00D01548">
            <w:pPr>
              <w:spacing w:after="0"/>
              <w:jc w:val="center"/>
            </w:pPr>
          </w:p>
        </w:tc>
        <w:tc>
          <w:tcPr>
            <w:tcW w:w="708" w:type="dxa"/>
            <w:tcBorders>
              <w:top w:val="single" w:sz="6" w:space="0" w:color="auto"/>
              <w:bottom w:val="single" w:sz="6" w:space="0" w:color="auto"/>
            </w:tcBorders>
            <w:vAlign w:val="center"/>
          </w:tcPr>
          <w:p w14:paraId="37F5576B" w14:textId="77777777" w:rsidR="00D01548" w:rsidRDefault="00D01548" w:rsidP="00D01548">
            <w:pPr>
              <w:spacing w:after="0"/>
              <w:jc w:val="center"/>
            </w:pPr>
          </w:p>
        </w:tc>
        <w:tc>
          <w:tcPr>
            <w:tcW w:w="567" w:type="dxa"/>
            <w:tcBorders>
              <w:top w:val="single" w:sz="6" w:space="0" w:color="auto"/>
              <w:bottom w:val="single" w:sz="6" w:space="0" w:color="auto"/>
            </w:tcBorders>
            <w:vAlign w:val="center"/>
          </w:tcPr>
          <w:p w14:paraId="5A278101" w14:textId="77777777" w:rsidR="00D01548" w:rsidRDefault="00D01548" w:rsidP="00D01548">
            <w:pPr>
              <w:pStyle w:val="Tabletextcentred"/>
            </w:pPr>
          </w:p>
        </w:tc>
        <w:tc>
          <w:tcPr>
            <w:tcW w:w="709" w:type="dxa"/>
            <w:tcBorders>
              <w:top w:val="single" w:sz="6" w:space="0" w:color="auto"/>
              <w:bottom w:val="single" w:sz="6" w:space="0" w:color="auto"/>
            </w:tcBorders>
            <w:vAlign w:val="center"/>
          </w:tcPr>
          <w:p w14:paraId="388CFB19" w14:textId="77777777" w:rsidR="00D01548" w:rsidRDefault="00D01548" w:rsidP="00D01548">
            <w:pPr>
              <w:pStyle w:val="Tabletextcentred"/>
            </w:pPr>
          </w:p>
        </w:tc>
        <w:tc>
          <w:tcPr>
            <w:tcW w:w="709" w:type="dxa"/>
            <w:tcBorders>
              <w:top w:val="single" w:sz="6" w:space="0" w:color="auto"/>
              <w:bottom w:val="single" w:sz="6" w:space="0" w:color="auto"/>
            </w:tcBorders>
            <w:vAlign w:val="center"/>
          </w:tcPr>
          <w:p w14:paraId="1389D1F7" w14:textId="77777777" w:rsidR="00D01548" w:rsidRDefault="00D01548" w:rsidP="00D01548">
            <w:pPr>
              <w:pStyle w:val="Tabletextcentred"/>
            </w:pPr>
          </w:p>
        </w:tc>
        <w:tc>
          <w:tcPr>
            <w:tcW w:w="709" w:type="dxa"/>
            <w:tcBorders>
              <w:top w:val="single" w:sz="6" w:space="0" w:color="auto"/>
              <w:bottom w:val="single" w:sz="6" w:space="0" w:color="auto"/>
            </w:tcBorders>
            <w:vAlign w:val="center"/>
          </w:tcPr>
          <w:p w14:paraId="2948A914" w14:textId="77777777" w:rsidR="00D01548" w:rsidRDefault="00D01548" w:rsidP="00D01548">
            <w:pPr>
              <w:pStyle w:val="Tabletextcentred"/>
            </w:pPr>
          </w:p>
        </w:tc>
        <w:tc>
          <w:tcPr>
            <w:tcW w:w="659" w:type="dxa"/>
            <w:tcBorders>
              <w:top w:val="single" w:sz="6" w:space="0" w:color="auto"/>
              <w:bottom w:val="single" w:sz="6" w:space="0" w:color="auto"/>
            </w:tcBorders>
            <w:vAlign w:val="center"/>
          </w:tcPr>
          <w:p w14:paraId="638B2E85" w14:textId="77777777" w:rsidR="00D01548" w:rsidRDefault="00D01548" w:rsidP="00D01548">
            <w:pPr>
              <w:spacing w:after="0"/>
            </w:pPr>
          </w:p>
        </w:tc>
        <w:tc>
          <w:tcPr>
            <w:tcW w:w="659" w:type="dxa"/>
            <w:tcBorders>
              <w:top w:val="single" w:sz="6" w:space="0" w:color="auto"/>
              <w:bottom w:val="single" w:sz="6" w:space="0" w:color="auto"/>
            </w:tcBorders>
            <w:vAlign w:val="center"/>
          </w:tcPr>
          <w:p w14:paraId="6D847E61" w14:textId="77777777" w:rsidR="00D01548" w:rsidRDefault="00D01548" w:rsidP="00D01548">
            <w:pPr>
              <w:spacing w:after="0"/>
            </w:pPr>
          </w:p>
        </w:tc>
      </w:tr>
      <w:tr w:rsidR="00D01548" w14:paraId="77557F57" w14:textId="77777777" w:rsidTr="00BC5CA2">
        <w:trPr>
          <w:cantSplit/>
        </w:trPr>
        <w:tc>
          <w:tcPr>
            <w:tcW w:w="1418" w:type="dxa"/>
            <w:tcBorders>
              <w:top w:val="single" w:sz="6" w:space="0" w:color="auto"/>
              <w:bottom w:val="single" w:sz="6" w:space="0" w:color="auto"/>
            </w:tcBorders>
            <w:vAlign w:val="center"/>
          </w:tcPr>
          <w:p w14:paraId="56AA6007" w14:textId="20283DA6" w:rsidR="00D01548" w:rsidRDefault="00D01548" w:rsidP="00D01548">
            <w:pPr>
              <w:spacing w:after="0"/>
            </w:pPr>
            <w:r w:rsidRPr="000F768B">
              <w:rPr>
                <w:rFonts w:cs="Arial"/>
                <w:sz w:val="19"/>
                <w:szCs w:val="19"/>
              </w:rPr>
              <w:t>Service level 2</w:t>
            </w:r>
          </w:p>
        </w:tc>
        <w:tc>
          <w:tcPr>
            <w:tcW w:w="709" w:type="dxa"/>
            <w:tcBorders>
              <w:top w:val="single" w:sz="6" w:space="0" w:color="auto"/>
              <w:bottom w:val="single" w:sz="6" w:space="0" w:color="auto"/>
            </w:tcBorders>
            <w:vAlign w:val="center"/>
          </w:tcPr>
          <w:p w14:paraId="6132C2DC" w14:textId="42D1DCDA" w:rsidR="00D01548" w:rsidRDefault="00D01548" w:rsidP="00D01548">
            <w:pPr>
              <w:spacing w:after="0"/>
              <w:jc w:val="center"/>
            </w:pPr>
            <w:r w:rsidRPr="000F768B">
              <w:rPr>
                <w:rFonts w:asciiTheme="majorHAnsi" w:eastAsiaTheme="minorEastAsia" w:hAnsiTheme="majorHAnsi" w:cs="Arial"/>
                <w:snapToGrid w:val="0"/>
                <w:sz w:val="19"/>
                <w:szCs w:val="19"/>
                <w:lang w:val="en-US"/>
              </w:rPr>
              <w:t>100%</w:t>
            </w:r>
          </w:p>
        </w:tc>
        <w:tc>
          <w:tcPr>
            <w:tcW w:w="708" w:type="dxa"/>
            <w:tcBorders>
              <w:top w:val="single" w:sz="6" w:space="0" w:color="auto"/>
              <w:bottom w:val="single" w:sz="6" w:space="0" w:color="auto"/>
            </w:tcBorders>
            <w:vAlign w:val="center"/>
          </w:tcPr>
          <w:p w14:paraId="736A5559" w14:textId="08125EFB" w:rsidR="00D01548" w:rsidRDefault="00D01548" w:rsidP="00D01548">
            <w:pPr>
              <w:spacing w:after="0"/>
              <w:jc w:val="center"/>
            </w:pPr>
            <w:r>
              <w:rPr>
                <w:rFonts w:asciiTheme="majorHAnsi" w:eastAsiaTheme="minorEastAsia" w:hAnsiTheme="majorHAnsi" w:cs="Arial"/>
                <w:snapToGrid w:val="0"/>
                <w:sz w:val="19"/>
                <w:szCs w:val="19"/>
                <w:lang w:val="en-US"/>
              </w:rPr>
              <w:t>99.76</w:t>
            </w:r>
            <w:r w:rsidRPr="000F768B">
              <w:rPr>
                <w:rFonts w:asciiTheme="majorHAnsi" w:eastAsiaTheme="minorEastAsia" w:hAnsiTheme="majorHAnsi" w:cs="Arial"/>
                <w:snapToGrid w:val="0"/>
                <w:sz w:val="19"/>
                <w:szCs w:val="19"/>
                <w:lang w:val="en-US"/>
              </w:rPr>
              <w:t>%</w:t>
            </w:r>
          </w:p>
        </w:tc>
        <w:tc>
          <w:tcPr>
            <w:tcW w:w="709" w:type="dxa"/>
            <w:tcBorders>
              <w:top w:val="single" w:sz="6" w:space="0" w:color="auto"/>
              <w:bottom w:val="single" w:sz="6" w:space="0" w:color="auto"/>
            </w:tcBorders>
            <w:vAlign w:val="center"/>
          </w:tcPr>
          <w:p w14:paraId="515938F5" w14:textId="43D2771C" w:rsidR="00D01548" w:rsidRDefault="00D01548" w:rsidP="00D01548">
            <w:pPr>
              <w:spacing w:after="0"/>
              <w:jc w:val="center"/>
            </w:pPr>
            <w:r w:rsidRPr="000F768B">
              <w:rPr>
                <w:rFonts w:asciiTheme="majorHAnsi" w:eastAsiaTheme="minorEastAsia" w:hAnsiTheme="majorHAnsi" w:cs="Arial"/>
                <w:snapToGrid w:val="0"/>
                <w:sz w:val="19"/>
                <w:szCs w:val="19"/>
                <w:lang w:val="en-US"/>
              </w:rPr>
              <w:t>100%</w:t>
            </w:r>
          </w:p>
        </w:tc>
        <w:tc>
          <w:tcPr>
            <w:tcW w:w="709" w:type="dxa"/>
            <w:tcBorders>
              <w:top w:val="single" w:sz="6" w:space="0" w:color="auto"/>
              <w:bottom w:val="single" w:sz="6" w:space="0" w:color="auto"/>
            </w:tcBorders>
            <w:vAlign w:val="center"/>
          </w:tcPr>
          <w:p w14:paraId="66EAF222" w14:textId="77777777" w:rsidR="00D01548" w:rsidRDefault="00D01548" w:rsidP="00D01548">
            <w:pPr>
              <w:spacing w:after="0"/>
              <w:jc w:val="center"/>
            </w:pPr>
          </w:p>
        </w:tc>
        <w:tc>
          <w:tcPr>
            <w:tcW w:w="709" w:type="dxa"/>
            <w:tcBorders>
              <w:top w:val="single" w:sz="6" w:space="0" w:color="auto"/>
              <w:bottom w:val="single" w:sz="6" w:space="0" w:color="auto"/>
            </w:tcBorders>
            <w:vAlign w:val="center"/>
          </w:tcPr>
          <w:p w14:paraId="5E57E81A" w14:textId="77777777" w:rsidR="00D01548" w:rsidRDefault="00D01548" w:rsidP="00D01548">
            <w:pPr>
              <w:spacing w:after="0"/>
              <w:jc w:val="center"/>
            </w:pPr>
          </w:p>
        </w:tc>
        <w:tc>
          <w:tcPr>
            <w:tcW w:w="708" w:type="dxa"/>
            <w:tcBorders>
              <w:top w:val="single" w:sz="6" w:space="0" w:color="auto"/>
              <w:bottom w:val="single" w:sz="6" w:space="0" w:color="auto"/>
            </w:tcBorders>
            <w:vAlign w:val="center"/>
          </w:tcPr>
          <w:p w14:paraId="6D7020E8" w14:textId="77777777" w:rsidR="00D01548" w:rsidRDefault="00D01548" w:rsidP="00D01548">
            <w:pPr>
              <w:spacing w:after="0"/>
              <w:jc w:val="center"/>
            </w:pPr>
          </w:p>
        </w:tc>
        <w:tc>
          <w:tcPr>
            <w:tcW w:w="567" w:type="dxa"/>
            <w:tcBorders>
              <w:top w:val="single" w:sz="6" w:space="0" w:color="auto"/>
              <w:bottom w:val="single" w:sz="6" w:space="0" w:color="auto"/>
            </w:tcBorders>
            <w:vAlign w:val="center"/>
          </w:tcPr>
          <w:p w14:paraId="01AB60F7" w14:textId="77777777" w:rsidR="00D01548" w:rsidRDefault="00D01548" w:rsidP="00D01548">
            <w:pPr>
              <w:pStyle w:val="Tabletextcentred"/>
            </w:pPr>
          </w:p>
        </w:tc>
        <w:tc>
          <w:tcPr>
            <w:tcW w:w="709" w:type="dxa"/>
            <w:tcBorders>
              <w:top w:val="single" w:sz="6" w:space="0" w:color="auto"/>
              <w:bottom w:val="single" w:sz="6" w:space="0" w:color="auto"/>
            </w:tcBorders>
            <w:vAlign w:val="center"/>
          </w:tcPr>
          <w:p w14:paraId="26B3A0CD" w14:textId="77777777" w:rsidR="00D01548" w:rsidRDefault="00D01548" w:rsidP="00D01548">
            <w:pPr>
              <w:pStyle w:val="Tabletextcentred"/>
            </w:pPr>
          </w:p>
        </w:tc>
        <w:tc>
          <w:tcPr>
            <w:tcW w:w="709" w:type="dxa"/>
            <w:tcBorders>
              <w:top w:val="single" w:sz="6" w:space="0" w:color="auto"/>
              <w:bottom w:val="single" w:sz="6" w:space="0" w:color="auto"/>
            </w:tcBorders>
            <w:vAlign w:val="center"/>
          </w:tcPr>
          <w:p w14:paraId="542C8D60" w14:textId="77777777" w:rsidR="00D01548" w:rsidRDefault="00D01548" w:rsidP="00D01548">
            <w:pPr>
              <w:pStyle w:val="Tabletextcentred"/>
            </w:pPr>
          </w:p>
        </w:tc>
        <w:tc>
          <w:tcPr>
            <w:tcW w:w="709" w:type="dxa"/>
            <w:tcBorders>
              <w:top w:val="single" w:sz="6" w:space="0" w:color="auto"/>
              <w:bottom w:val="single" w:sz="6" w:space="0" w:color="auto"/>
            </w:tcBorders>
            <w:vAlign w:val="center"/>
          </w:tcPr>
          <w:p w14:paraId="4C386F7F" w14:textId="77777777" w:rsidR="00D01548" w:rsidRDefault="00D01548" w:rsidP="00D01548">
            <w:pPr>
              <w:pStyle w:val="Tabletextcentred"/>
            </w:pPr>
          </w:p>
        </w:tc>
        <w:tc>
          <w:tcPr>
            <w:tcW w:w="659" w:type="dxa"/>
            <w:tcBorders>
              <w:top w:val="single" w:sz="6" w:space="0" w:color="auto"/>
              <w:bottom w:val="single" w:sz="6" w:space="0" w:color="auto"/>
            </w:tcBorders>
            <w:vAlign w:val="center"/>
          </w:tcPr>
          <w:p w14:paraId="2C1A29E3" w14:textId="77777777" w:rsidR="00D01548" w:rsidRDefault="00D01548" w:rsidP="00D01548">
            <w:pPr>
              <w:spacing w:after="0"/>
            </w:pPr>
          </w:p>
        </w:tc>
        <w:tc>
          <w:tcPr>
            <w:tcW w:w="659" w:type="dxa"/>
            <w:tcBorders>
              <w:top w:val="single" w:sz="6" w:space="0" w:color="auto"/>
              <w:bottom w:val="single" w:sz="6" w:space="0" w:color="auto"/>
            </w:tcBorders>
            <w:vAlign w:val="center"/>
          </w:tcPr>
          <w:p w14:paraId="02C5BFA3" w14:textId="77777777" w:rsidR="00D01548" w:rsidRDefault="00D01548" w:rsidP="00D01548">
            <w:pPr>
              <w:spacing w:after="0"/>
            </w:pPr>
          </w:p>
        </w:tc>
      </w:tr>
      <w:tr w:rsidR="00D01548" w14:paraId="12B9A6B0" w14:textId="77777777" w:rsidTr="00BC5CA2">
        <w:trPr>
          <w:cantSplit/>
        </w:trPr>
        <w:tc>
          <w:tcPr>
            <w:tcW w:w="1418" w:type="dxa"/>
            <w:tcBorders>
              <w:top w:val="single" w:sz="6" w:space="0" w:color="auto"/>
              <w:bottom w:val="single" w:sz="6" w:space="0" w:color="auto"/>
            </w:tcBorders>
            <w:vAlign w:val="center"/>
          </w:tcPr>
          <w:p w14:paraId="2603367A" w14:textId="7C304249" w:rsidR="00D01548" w:rsidRPr="00A35060" w:rsidRDefault="00D01548" w:rsidP="00D01548">
            <w:pPr>
              <w:spacing w:after="0"/>
            </w:pPr>
            <w:r w:rsidRPr="000F768B">
              <w:rPr>
                <w:rFonts w:cs="Arial"/>
                <w:sz w:val="19"/>
                <w:szCs w:val="19"/>
              </w:rPr>
              <w:t>Service level 3</w:t>
            </w:r>
          </w:p>
        </w:tc>
        <w:tc>
          <w:tcPr>
            <w:tcW w:w="709" w:type="dxa"/>
            <w:tcBorders>
              <w:top w:val="single" w:sz="6" w:space="0" w:color="auto"/>
              <w:bottom w:val="single" w:sz="6" w:space="0" w:color="auto"/>
            </w:tcBorders>
            <w:vAlign w:val="center"/>
          </w:tcPr>
          <w:p w14:paraId="644DB944" w14:textId="626BF7E8" w:rsidR="00D01548" w:rsidRPr="00513188" w:rsidRDefault="00D01548" w:rsidP="00D01548">
            <w:pPr>
              <w:spacing w:after="0"/>
              <w:jc w:val="center"/>
            </w:pPr>
            <w:r>
              <w:rPr>
                <w:rFonts w:asciiTheme="majorHAnsi" w:eastAsiaTheme="minorEastAsia" w:hAnsiTheme="majorHAnsi" w:cs="Arial"/>
                <w:snapToGrid w:val="0"/>
                <w:sz w:val="19"/>
                <w:szCs w:val="19"/>
                <w:lang w:val="en-US"/>
              </w:rPr>
              <w:t>97.87</w:t>
            </w:r>
            <w:r w:rsidRPr="000F768B">
              <w:rPr>
                <w:rFonts w:asciiTheme="majorHAnsi" w:eastAsiaTheme="minorEastAsia" w:hAnsiTheme="majorHAnsi" w:cs="Arial"/>
                <w:snapToGrid w:val="0"/>
                <w:sz w:val="19"/>
                <w:szCs w:val="19"/>
                <w:lang w:val="en-US"/>
              </w:rPr>
              <w:t>%</w:t>
            </w:r>
          </w:p>
        </w:tc>
        <w:tc>
          <w:tcPr>
            <w:tcW w:w="708" w:type="dxa"/>
            <w:tcBorders>
              <w:top w:val="single" w:sz="6" w:space="0" w:color="auto"/>
              <w:bottom w:val="single" w:sz="6" w:space="0" w:color="auto"/>
            </w:tcBorders>
            <w:vAlign w:val="center"/>
          </w:tcPr>
          <w:p w14:paraId="14C94278" w14:textId="63127631" w:rsidR="00D01548" w:rsidRPr="00513188" w:rsidRDefault="00D01548" w:rsidP="00D01548">
            <w:pPr>
              <w:spacing w:after="0"/>
              <w:jc w:val="center"/>
            </w:pPr>
            <w:r>
              <w:rPr>
                <w:rFonts w:asciiTheme="majorHAnsi" w:eastAsiaTheme="minorEastAsia" w:hAnsiTheme="majorHAnsi" w:cs="Arial"/>
                <w:snapToGrid w:val="0"/>
                <w:sz w:val="19"/>
                <w:szCs w:val="19"/>
                <w:lang w:val="en-US"/>
              </w:rPr>
              <w:t>99.43</w:t>
            </w:r>
            <w:r w:rsidRPr="000F768B">
              <w:rPr>
                <w:rFonts w:asciiTheme="majorHAnsi" w:eastAsiaTheme="minorEastAsia" w:hAnsiTheme="majorHAnsi" w:cs="Arial"/>
                <w:snapToGrid w:val="0"/>
                <w:sz w:val="19"/>
                <w:szCs w:val="19"/>
                <w:lang w:val="en-US"/>
              </w:rPr>
              <w:t>%</w:t>
            </w:r>
          </w:p>
        </w:tc>
        <w:tc>
          <w:tcPr>
            <w:tcW w:w="709" w:type="dxa"/>
            <w:tcBorders>
              <w:top w:val="single" w:sz="6" w:space="0" w:color="auto"/>
              <w:bottom w:val="single" w:sz="6" w:space="0" w:color="auto"/>
            </w:tcBorders>
            <w:vAlign w:val="center"/>
          </w:tcPr>
          <w:p w14:paraId="0807A421" w14:textId="564D19C1" w:rsidR="00D01548" w:rsidRPr="00513188" w:rsidRDefault="00D01548" w:rsidP="00D01548">
            <w:pPr>
              <w:spacing w:after="0"/>
              <w:jc w:val="center"/>
            </w:pPr>
            <w:r>
              <w:rPr>
                <w:rFonts w:asciiTheme="majorHAnsi" w:eastAsiaTheme="minorEastAsia" w:hAnsiTheme="majorHAnsi" w:cs="Arial"/>
                <w:snapToGrid w:val="0"/>
                <w:sz w:val="19"/>
                <w:szCs w:val="19"/>
                <w:lang w:val="en-US"/>
              </w:rPr>
              <w:t>98.84</w:t>
            </w:r>
            <w:r w:rsidRPr="000F768B">
              <w:rPr>
                <w:rFonts w:asciiTheme="majorHAnsi" w:eastAsiaTheme="minorEastAsia" w:hAnsiTheme="majorHAnsi" w:cs="Arial"/>
                <w:snapToGrid w:val="0"/>
                <w:sz w:val="19"/>
                <w:szCs w:val="19"/>
                <w:lang w:val="en-US"/>
              </w:rPr>
              <w:t>%</w:t>
            </w:r>
          </w:p>
        </w:tc>
        <w:tc>
          <w:tcPr>
            <w:tcW w:w="709" w:type="dxa"/>
            <w:tcBorders>
              <w:top w:val="single" w:sz="6" w:space="0" w:color="auto"/>
              <w:bottom w:val="single" w:sz="6" w:space="0" w:color="auto"/>
            </w:tcBorders>
            <w:vAlign w:val="center"/>
          </w:tcPr>
          <w:p w14:paraId="283031C0" w14:textId="77777777" w:rsidR="00D01548" w:rsidRPr="00513188" w:rsidRDefault="00D01548" w:rsidP="00D01548">
            <w:pPr>
              <w:spacing w:after="0"/>
              <w:jc w:val="center"/>
            </w:pPr>
          </w:p>
        </w:tc>
        <w:tc>
          <w:tcPr>
            <w:tcW w:w="709" w:type="dxa"/>
            <w:tcBorders>
              <w:top w:val="single" w:sz="6" w:space="0" w:color="auto"/>
              <w:bottom w:val="single" w:sz="6" w:space="0" w:color="auto"/>
            </w:tcBorders>
            <w:vAlign w:val="center"/>
          </w:tcPr>
          <w:p w14:paraId="5BF14939" w14:textId="77777777" w:rsidR="00D01548" w:rsidRPr="00513188" w:rsidRDefault="00D01548" w:rsidP="00D01548">
            <w:pPr>
              <w:spacing w:after="0"/>
              <w:jc w:val="center"/>
            </w:pPr>
          </w:p>
        </w:tc>
        <w:tc>
          <w:tcPr>
            <w:tcW w:w="708" w:type="dxa"/>
            <w:tcBorders>
              <w:top w:val="single" w:sz="6" w:space="0" w:color="auto"/>
              <w:bottom w:val="single" w:sz="6" w:space="0" w:color="auto"/>
            </w:tcBorders>
            <w:vAlign w:val="center"/>
          </w:tcPr>
          <w:p w14:paraId="5292EB91" w14:textId="77777777" w:rsidR="00D01548" w:rsidRPr="00513188" w:rsidRDefault="00D01548" w:rsidP="00D01548">
            <w:pPr>
              <w:spacing w:after="0"/>
              <w:jc w:val="center"/>
            </w:pPr>
          </w:p>
        </w:tc>
        <w:tc>
          <w:tcPr>
            <w:tcW w:w="567" w:type="dxa"/>
            <w:tcBorders>
              <w:top w:val="single" w:sz="6" w:space="0" w:color="auto"/>
              <w:bottom w:val="single" w:sz="6" w:space="0" w:color="auto"/>
            </w:tcBorders>
            <w:vAlign w:val="center"/>
          </w:tcPr>
          <w:p w14:paraId="69640E0A" w14:textId="77777777" w:rsidR="00D01548" w:rsidRDefault="00D01548" w:rsidP="00D01548">
            <w:pPr>
              <w:pStyle w:val="Tabletextcentred"/>
            </w:pPr>
          </w:p>
        </w:tc>
        <w:tc>
          <w:tcPr>
            <w:tcW w:w="709" w:type="dxa"/>
            <w:tcBorders>
              <w:top w:val="single" w:sz="6" w:space="0" w:color="auto"/>
              <w:bottom w:val="single" w:sz="6" w:space="0" w:color="auto"/>
            </w:tcBorders>
            <w:vAlign w:val="center"/>
          </w:tcPr>
          <w:p w14:paraId="3E7B72D8" w14:textId="77777777" w:rsidR="00D01548" w:rsidRDefault="00D01548" w:rsidP="00D01548">
            <w:pPr>
              <w:pStyle w:val="Tabletextcentred"/>
            </w:pPr>
          </w:p>
        </w:tc>
        <w:tc>
          <w:tcPr>
            <w:tcW w:w="709" w:type="dxa"/>
            <w:tcBorders>
              <w:top w:val="single" w:sz="6" w:space="0" w:color="auto"/>
              <w:bottom w:val="single" w:sz="6" w:space="0" w:color="auto"/>
            </w:tcBorders>
            <w:vAlign w:val="center"/>
          </w:tcPr>
          <w:p w14:paraId="20F1A0D0" w14:textId="77777777" w:rsidR="00D01548" w:rsidRDefault="00D01548" w:rsidP="00D01548">
            <w:pPr>
              <w:pStyle w:val="Tabletextcentred"/>
            </w:pPr>
          </w:p>
        </w:tc>
        <w:tc>
          <w:tcPr>
            <w:tcW w:w="709" w:type="dxa"/>
            <w:tcBorders>
              <w:top w:val="single" w:sz="6" w:space="0" w:color="auto"/>
              <w:bottom w:val="single" w:sz="6" w:space="0" w:color="auto"/>
            </w:tcBorders>
            <w:vAlign w:val="center"/>
          </w:tcPr>
          <w:p w14:paraId="70B304F4" w14:textId="77777777" w:rsidR="00D01548" w:rsidRPr="00513188" w:rsidRDefault="00D01548" w:rsidP="00D01548">
            <w:pPr>
              <w:pStyle w:val="Tabletextcentred"/>
            </w:pPr>
          </w:p>
        </w:tc>
        <w:tc>
          <w:tcPr>
            <w:tcW w:w="659" w:type="dxa"/>
            <w:tcBorders>
              <w:top w:val="single" w:sz="6" w:space="0" w:color="auto"/>
              <w:bottom w:val="single" w:sz="6" w:space="0" w:color="auto"/>
            </w:tcBorders>
            <w:vAlign w:val="center"/>
          </w:tcPr>
          <w:p w14:paraId="1ED20A17" w14:textId="77777777" w:rsidR="00D01548" w:rsidRDefault="00D01548" w:rsidP="00D01548">
            <w:pPr>
              <w:spacing w:after="0"/>
            </w:pPr>
          </w:p>
        </w:tc>
        <w:tc>
          <w:tcPr>
            <w:tcW w:w="659" w:type="dxa"/>
            <w:tcBorders>
              <w:top w:val="single" w:sz="6" w:space="0" w:color="auto"/>
              <w:bottom w:val="single" w:sz="6" w:space="0" w:color="auto"/>
            </w:tcBorders>
            <w:vAlign w:val="center"/>
          </w:tcPr>
          <w:p w14:paraId="7AD9DB29" w14:textId="77777777" w:rsidR="00D01548" w:rsidRDefault="00D01548" w:rsidP="00D01548">
            <w:pPr>
              <w:spacing w:after="0"/>
            </w:pPr>
          </w:p>
        </w:tc>
      </w:tr>
      <w:tr w:rsidR="00D01548" w14:paraId="673A3245" w14:textId="77777777" w:rsidTr="00BC5CA2">
        <w:trPr>
          <w:cantSplit/>
        </w:trPr>
        <w:tc>
          <w:tcPr>
            <w:tcW w:w="1418" w:type="dxa"/>
            <w:tcBorders>
              <w:top w:val="single" w:sz="6" w:space="0" w:color="auto"/>
              <w:bottom w:val="single" w:sz="6" w:space="0" w:color="auto"/>
            </w:tcBorders>
            <w:vAlign w:val="center"/>
          </w:tcPr>
          <w:p w14:paraId="773C6BE6" w14:textId="66E1E6CA" w:rsidR="00D01548" w:rsidRPr="00597889" w:rsidRDefault="00D01548" w:rsidP="00D01548">
            <w:pPr>
              <w:spacing w:after="0"/>
              <w:rPr>
                <w:rFonts w:asciiTheme="majorHAnsi" w:eastAsiaTheme="minorEastAsia" w:hAnsiTheme="majorHAnsi" w:cs="Arial"/>
                <w:b/>
                <w:snapToGrid w:val="0"/>
                <w:sz w:val="19"/>
                <w:szCs w:val="19"/>
                <w:lang w:val="en-US"/>
              </w:rPr>
            </w:pPr>
            <w:r w:rsidRPr="000F768B">
              <w:rPr>
                <w:rFonts w:cs="Arial"/>
                <w:sz w:val="19"/>
                <w:szCs w:val="19"/>
              </w:rPr>
              <w:t>Service level 4</w:t>
            </w:r>
          </w:p>
        </w:tc>
        <w:tc>
          <w:tcPr>
            <w:tcW w:w="709" w:type="dxa"/>
            <w:tcBorders>
              <w:top w:val="single" w:sz="6" w:space="0" w:color="auto"/>
              <w:bottom w:val="single" w:sz="6" w:space="0" w:color="auto"/>
            </w:tcBorders>
            <w:vAlign w:val="center"/>
          </w:tcPr>
          <w:p w14:paraId="64045F12" w14:textId="035FBFE2" w:rsidR="00D01548" w:rsidRPr="004C6708" w:rsidRDefault="00D01548" w:rsidP="00D01548">
            <w:pPr>
              <w:spacing w:after="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86.77</w:t>
            </w:r>
            <w:r w:rsidRPr="000F768B">
              <w:rPr>
                <w:rFonts w:asciiTheme="majorHAnsi" w:eastAsiaTheme="minorEastAsia" w:hAnsiTheme="majorHAnsi" w:cs="Arial"/>
                <w:snapToGrid w:val="0"/>
                <w:sz w:val="19"/>
                <w:szCs w:val="19"/>
                <w:lang w:val="en-US"/>
              </w:rPr>
              <w:t>%</w:t>
            </w:r>
          </w:p>
        </w:tc>
        <w:tc>
          <w:tcPr>
            <w:tcW w:w="708" w:type="dxa"/>
            <w:tcBorders>
              <w:top w:val="single" w:sz="6" w:space="0" w:color="auto"/>
              <w:bottom w:val="single" w:sz="6" w:space="0" w:color="auto"/>
            </w:tcBorders>
            <w:vAlign w:val="center"/>
          </w:tcPr>
          <w:p w14:paraId="16C033F2" w14:textId="0B50F52E" w:rsidR="00D01548" w:rsidRDefault="00D01548" w:rsidP="00D01548">
            <w:pPr>
              <w:spacing w:after="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100</w:t>
            </w:r>
            <w:r w:rsidRPr="000F768B">
              <w:rPr>
                <w:rFonts w:asciiTheme="majorHAnsi" w:eastAsiaTheme="minorEastAsia" w:hAnsiTheme="majorHAnsi" w:cs="Arial"/>
                <w:snapToGrid w:val="0"/>
                <w:sz w:val="19"/>
                <w:szCs w:val="19"/>
                <w:lang w:val="en-US"/>
              </w:rPr>
              <w:t>%</w:t>
            </w:r>
          </w:p>
        </w:tc>
        <w:tc>
          <w:tcPr>
            <w:tcW w:w="709" w:type="dxa"/>
            <w:tcBorders>
              <w:top w:val="single" w:sz="6" w:space="0" w:color="auto"/>
              <w:bottom w:val="single" w:sz="6" w:space="0" w:color="auto"/>
            </w:tcBorders>
            <w:vAlign w:val="center"/>
          </w:tcPr>
          <w:p w14:paraId="66958ECC" w14:textId="3BDAA267" w:rsidR="00D01548" w:rsidRDefault="00D01548" w:rsidP="00D01548">
            <w:pPr>
              <w:spacing w:after="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100</w:t>
            </w:r>
            <w:r w:rsidRPr="000F768B">
              <w:rPr>
                <w:rFonts w:asciiTheme="majorHAnsi" w:eastAsiaTheme="minorEastAsia" w:hAnsiTheme="majorHAnsi" w:cs="Arial"/>
                <w:snapToGrid w:val="0"/>
                <w:sz w:val="19"/>
                <w:szCs w:val="19"/>
                <w:lang w:val="en-US"/>
              </w:rPr>
              <w:t>%</w:t>
            </w:r>
          </w:p>
        </w:tc>
        <w:tc>
          <w:tcPr>
            <w:tcW w:w="709" w:type="dxa"/>
            <w:tcBorders>
              <w:top w:val="single" w:sz="6" w:space="0" w:color="auto"/>
              <w:bottom w:val="single" w:sz="6" w:space="0" w:color="auto"/>
            </w:tcBorders>
            <w:vAlign w:val="center"/>
          </w:tcPr>
          <w:p w14:paraId="129417AE" w14:textId="77777777" w:rsidR="00D01548" w:rsidRPr="00513188" w:rsidRDefault="00D01548" w:rsidP="00D01548">
            <w:pPr>
              <w:spacing w:after="0"/>
              <w:jc w:val="center"/>
            </w:pPr>
          </w:p>
        </w:tc>
        <w:tc>
          <w:tcPr>
            <w:tcW w:w="709" w:type="dxa"/>
            <w:tcBorders>
              <w:top w:val="single" w:sz="6" w:space="0" w:color="auto"/>
              <w:bottom w:val="single" w:sz="6" w:space="0" w:color="auto"/>
            </w:tcBorders>
            <w:vAlign w:val="center"/>
          </w:tcPr>
          <w:p w14:paraId="565D3372" w14:textId="77777777" w:rsidR="00D01548" w:rsidRPr="00513188" w:rsidRDefault="00D01548" w:rsidP="00D01548">
            <w:pPr>
              <w:spacing w:after="0"/>
              <w:jc w:val="center"/>
            </w:pPr>
          </w:p>
        </w:tc>
        <w:tc>
          <w:tcPr>
            <w:tcW w:w="708" w:type="dxa"/>
            <w:tcBorders>
              <w:top w:val="single" w:sz="6" w:space="0" w:color="auto"/>
              <w:bottom w:val="single" w:sz="6" w:space="0" w:color="auto"/>
            </w:tcBorders>
            <w:vAlign w:val="center"/>
          </w:tcPr>
          <w:p w14:paraId="508B6FF5" w14:textId="77777777" w:rsidR="00D01548" w:rsidRPr="00513188" w:rsidRDefault="00D01548" w:rsidP="00D01548">
            <w:pPr>
              <w:spacing w:after="0"/>
              <w:jc w:val="center"/>
            </w:pPr>
          </w:p>
        </w:tc>
        <w:tc>
          <w:tcPr>
            <w:tcW w:w="567" w:type="dxa"/>
            <w:tcBorders>
              <w:top w:val="single" w:sz="6" w:space="0" w:color="auto"/>
              <w:bottom w:val="single" w:sz="6" w:space="0" w:color="auto"/>
            </w:tcBorders>
            <w:vAlign w:val="center"/>
          </w:tcPr>
          <w:p w14:paraId="1052F827" w14:textId="77777777" w:rsidR="00D01548" w:rsidRDefault="00D01548" w:rsidP="00D01548">
            <w:pPr>
              <w:pStyle w:val="Tabletextcentred"/>
            </w:pPr>
          </w:p>
        </w:tc>
        <w:tc>
          <w:tcPr>
            <w:tcW w:w="709" w:type="dxa"/>
            <w:tcBorders>
              <w:top w:val="single" w:sz="6" w:space="0" w:color="auto"/>
              <w:bottom w:val="single" w:sz="6" w:space="0" w:color="auto"/>
            </w:tcBorders>
            <w:vAlign w:val="center"/>
          </w:tcPr>
          <w:p w14:paraId="5A06A418" w14:textId="77777777" w:rsidR="00D01548" w:rsidRDefault="00D01548" w:rsidP="00D01548">
            <w:pPr>
              <w:pStyle w:val="Tabletextcentred"/>
            </w:pPr>
          </w:p>
        </w:tc>
        <w:tc>
          <w:tcPr>
            <w:tcW w:w="709" w:type="dxa"/>
            <w:tcBorders>
              <w:top w:val="single" w:sz="6" w:space="0" w:color="auto"/>
              <w:bottom w:val="single" w:sz="6" w:space="0" w:color="auto"/>
            </w:tcBorders>
            <w:vAlign w:val="center"/>
          </w:tcPr>
          <w:p w14:paraId="4BD201D6" w14:textId="77777777" w:rsidR="00D01548" w:rsidRDefault="00D01548" w:rsidP="00D01548">
            <w:pPr>
              <w:pStyle w:val="Tabletextcentred"/>
            </w:pPr>
          </w:p>
        </w:tc>
        <w:tc>
          <w:tcPr>
            <w:tcW w:w="709" w:type="dxa"/>
            <w:tcBorders>
              <w:top w:val="single" w:sz="6" w:space="0" w:color="auto"/>
              <w:bottom w:val="single" w:sz="6" w:space="0" w:color="auto"/>
            </w:tcBorders>
            <w:vAlign w:val="center"/>
          </w:tcPr>
          <w:p w14:paraId="529D55C5" w14:textId="77777777" w:rsidR="00D01548" w:rsidRPr="00513188" w:rsidRDefault="00D01548" w:rsidP="00D01548">
            <w:pPr>
              <w:pStyle w:val="Tabletextcentred"/>
            </w:pPr>
          </w:p>
        </w:tc>
        <w:tc>
          <w:tcPr>
            <w:tcW w:w="659" w:type="dxa"/>
            <w:tcBorders>
              <w:top w:val="single" w:sz="6" w:space="0" w:color="auto"/>
            </w:tcBorders>
            <w:vAlign w:val="center"/>
          </w:tcPr>
          <w:p w14:paraId="78F03709" w14:textId="77777777" w:rsidR="00D01548" w:rsidRDefault="00D01548" w:rsidP="00D01548">
            <w:pPr>
              <w:spacing w:after="0"/>
            </w:pPr>
          </w:p>
        </w:tc>
        <w:tc>
          <w:tcPr>
            <w:tcW w:w="659" w:type="dxa"/>
            <w:tcBorders>
              <w:top w:val="single" w:sz="6" w:space="0" w:color="auto"/>
            </w:tcBorders>
            <w:vAlign w:val="center"/>
          </w:tcPr>
          <w:p w14:paraId="327C579F" w14:textId="77777777" w:rsidR="00D01548" w:rsidRDefault="00D01548" w:rsidP="00D01548">
            <w:pPr>
              <w:spacing w:after="0"/>
            </w:pPr>
          </w:p>
        </w:tc>
      </w:tr>
    </w:tbl>
    <w:p w14:paraId="3EA77428" w14:textId="77777777" w:rsidR="00D01548" w:rsidRDefault="00D01548" w:rsidP="00D01548">
      <w:pPr>
        <w:spacing w:after="0"/>
      </w:pPr>
    </w:p>
    <w:p w14:paraId="5BDCCD42" w14:textId="41A8847A" w:rsidR="00A35060" w:rsidRPr="000C5347" w:rsidRDefault="00A35060" w:rsidP="009221A3">
      <w:r w:rsidRPr="000C5347">
        <w:t>The outreach service provider has reported fully meeting all service levels in quarter</w:t>
      </w:r>
      <w:r w:rsidR="00130795">
        <w:t xml:space="preserve"> 1</w:t>
      </w:r>
      <w:r w:rsidRPr="000C5347">
        <w:t xml:space="preserve"> in </w:t>
      </w:r>
      <w:r w:rsidR="009221A3">
        <w:t>2016–17</w:t>
      </w:r>
      <w:r w:rsidR="00130795">
        <w:t>.</w:t>
      </w:r>
      <w:r w:rsidRPr="000C5347">
        <w:t xml:space="preserve"> The Department considers the performance of the outreach service provider to be consistent with its obligations in t</w:t>
      </w:r>
      <w:r w:rsidR="009221A3">
        <w:t>he Outreach Services Agreement.</w:t>
      </w:r>
    </w:p>
    <w:p w14:paraId="728510DF" w14:textId="2A1ECE8C" w:rsidR="005B5C58" w:rsidRDefault="005B5C58" w:rsidP="006B3774">
      <w:pPr>
        <w:pStyle w:val="Heading3"/>
      </w:pPr>
      <w:r w:rsidRPr="003D09F1">
        <w:t xml:space="preserve">Outreach service provider performance against </w:t>
      </w:r>
      <w:r w:rsidRPr="0060762A">
        <w:t xml:space="preserve">Key </w:t>
      </w:r>
      <w:r w:rsidR="001D5C73">
        <w:t>Performance Indicators</w:t>
      </w:r>
      <w:r w:rsidR="009221A3">
        <w:t xml:space="preserve"> </w:t>
      </w:r>
      <w:r w:rsidRPr="0060762A">
        <w:t>(K</w:t>
      </w:r>
      <w:r w:rsidR="001D5C73">
        <w:t>PI</w:t>
      </w:r>
      <w:r w:rsidRPr="0060762A">
        <w:t>s)</w:t>
      </w:r>
    </w:p>
    <w:p w14:paraId="728510E0" w14:textId="2A7FA6A8" w:rsidR="005B5C58" w:rsidRPr="006B3774" w:rsidRDefault="00076137" w:rsidP="009221A3">
      <w:r w:rsidRPr="006B3774">
        <w:t>In</w:t>
      </w:r>
      <w:r w:rsidR="005B5C58" w:rsidRPr="006B3774">
        <w:t xml:space="preserve"> addition to the service levels, the performance of the outreach service provider in </w:t>
      </w:r>
      <w:r w:rsidR="009221A3">
        <w:t>2016–17</w:t>
      </w:r>
      <w:r w:rsidR="005B5C58" w:rsidRPr="006B3774">
        <w:t xml:space="preserve"> </w:t>
      </w:r>
      <w:r w:rsidR="007B2B89">
        <w:t>is</w:t>
      </w:r>
      <w:r w:rsidR="005B5C58" w:rsidRPr="006B3774">
        <w:t xml:space="preserve"> </w:t>
      </w:r>
      <w:r w:rsidR="00040663">
        <w:t>reported</w:t>
      </w:r>
      <w:r w:rsidR="005B5C58" w:rsidRPr="006B3774">
        <w:t xml:space="preserve"> </w:t>
      </w:r>
      <w:r w:rsidR="004B613D">
        <w:t>a</w:t>
      </w:r>
      <w:r w:rsidR="005B5C58" w:rsidRPr="006B3774">
        <w:t>gainst a number of Key</w:t>
      </w:r>
      <w:r w:rsidR="0010018F">
        <w:t xml:space="preserve"> Performance Indicators (KPIs).</w:t>
      </w:r>
    </w:p>
    <w:p w14:paraId="728510E1" w14:textId="09AFE103" w:rsidR="005B5C58" w:rsidRPr="006B3774" w:rsidRDefault="005B5C58" w:rsidP="009221A3">
      <w:pPr>
        <w:keepNext/>
        <w:rPr>
          <w:szCs w:val="24"/>
        </w:rPr>
      </w:pPr>
      <w:r w:rsidRPr="006B3774">
        <w:rPr>
          <w:szCs w:val="24"/>
        </w:rPr>
        <w:t xml:space="preserve">The outreach service provider’s </w:t>
      </w:r>
      <w:r w:rsidR="00ED2F6E">
        <w:rPr>
          <w:szCs w:val="24"/>
        </w:rPr>
        <w:t xml:space="preserve">reported </w:t>
      </w:r>
      <w:r w:rsidRPr="006B3774">
        <w:rPr>
          <w:szCs w:val="24"/>
        </w:rPr>
        <w:t xml:space="preserve">performance against these measures, along with associated annual targets, are outlined </w:t>
      </w:r>
      <w:r w:rsidR="00333144">
        <w:rPr>
          <w:szCs w:val="24"/>
        </w:rPr>
        <w:t xml:space="preserve">in </w:t>
      </w:r>
      <w:r w:rsidR="00A35060">
        <w:rPr>
          <w:szCs w:val="24"/>
        </w:rPr>
        <w:t>the t</w:t>
      </w:r>
      <w:r w:rsidR="00333144">
        <w:rPr>
          <w:szCs w:val="24"/>
        </w:rPr>
        <w:t xml:space="preserve">able </w:t>
      </w:r>
      <w:r w:rsidRPr="006B3774">
        <w:rPr>
          <w:szCs w:val="24"/>
        </w:rPr>
        <w:t>below:</w:t>
      </w:r>
    </w:p>
    <w:p w14:paraId="728510E2" w14:textId="70C8E050" w:rsidR="005B5C58" w:rsidRDefault="00333144" w:rsidP="00076137">
      <w:pPr>
        <w:pStyle w:val="Tablefigureheading"/>
        <w:rPr>
          <w:rStyle w:val="Strong"/>
          <w:b/>
          <w:bCs w:val="0"/>
        </w:rPr>
      </w:pPr>
      <w:r>
        <w:rPr>
          <w:rStyle w:val="Strong"/>
          <w:b/>
          <w:bCs w:val="0"/>
        </w:rPr>
        <w:t xml:space="preserve">Table 4. </w:t>
      </w:r>
      <w:r w:rsidR="005B5C58" w:rsidRPr="00076137">
        <w:rPr>
          <w:rStyle w:val="Strong"/>
          <w:b/>
          <w:bCs w:val="0"/>
        </w:rPr>
        <w:t>Outreach service provider</w:t>
      </w:r>
      <w:r w:rsidR="005427E1">
        <w:rPr>
          <w:rStyle w:val="Strong"/>
          <w:b/>
          <w:bCs w:val="0"/>
        </w:rPr>
        <w:t>:</w:t>
      </w:r>
      <w:r w:rsidR="005B5C58" w:rsidRPr="00076137">
        <w:rPr>
          <w:rStyle w:val="Strong"/>
          <w:b/>
          <w:bCs w:val="0"/>
        </w:rPr>
        <w:t xml:space="preserve"> performance against Key </w:t>
      </w:r>
      <w:r w:rsidR="007B2B89">
        <w:rPr>
          <w:rStyle w:val="Strong"/>
          <w:b/>
          <w:bCs w:val="0"/>
        </w:rPr>
        <w:t xml:space="preserve">Performance Indicators </w:t>
      </w:r>
      <w:r w:rsidR="005B5C58" w:rsidRPr="00076137">
        <w:rPr>
          <w:rStyle w:val="Strong"/>
          <w:b/>
          <w:bCs w:val="0"/>
        </w:rPr>
        <w:t>(K</w:t>
      </w:r>
      <w:r w:rsidR="007B2B89">
        <w:rPr>
          <w:rStyle w:val="Strong"/>
          <w:b/>
          <w:bCs w:val="0"/>
        </w:rPr>
        <w:t>PI</w:t>
      </w:r>
      <w:r w:rsidR="005B5C58" w:rsidRPr="00076137">
        <w:rPr>
          <w:rStyle w:val="Strong"/>
          <w:b/>
          <w:bCs w:val="0"/>
        </w:rPr>
        <w:t>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4. Outreach service provider: performance against Key Performance Indicators (KPIs)"/>
      </w:tblPr>
      <w:tblGrid>
        <w:gridCol w:w="1873"/>
        <w:gridCol w:w="1151"/>
        <w:gridCol w:w="980"/>
        <w:gridCol w:w="980"/>
        <w:gridCol w:w="980"/>
        <w:gridCol w:w="1096"/>
        <w:gridCol w:w="1190"/>
        <w:gridCol w:w="1083"/>
      </w:tblGrid>
      <w:tr w:rsidR="00595EB4" w:rsidRPr="00595EB4" w14:paraId="2F564DE6" w14:textId="77777777" w:rsidTr="00595EB4">
        <w:trPr>
          <w:cantSplit/>
          <w:tblHeader/>
        </w:trPr>
        <w:tc>
          <w:tcPr>
            <w:tcW w:w="1609" w:type="dxa"/>
            <w:tcBorders>
              <w:bottom w:val="single" w:sz="4" w:space="0" w:color="auto"/>
            </w:tcBorders>
            <w:shd w:val="clear" w:color="auto" w:fill="D6F2FA"/>
            <w:vAlign w:val="center"/>
          </w:tcPr>
          <w:p w14:paraId="1F1EE9E8" w14:textId="77777777" w:rsidR="00595EB4" w:rsidRPr="00595EB4" w:rsidRDefault="00595EB4" w:rsidP="00595EB4">
            <w:pPr>
              <w:pStyle w:val="Tableheading"/>
              <w:jc w:val="center"/>
            </w:pPr>
          </w:p>
        </w:tc>
        <w:tc>
          <w:tcPr>
            <w:tcW w:w="1202" w:type="dxa"/>
            <w:tcBorders>
              <w:bottom w:val="single" w:sz="4" w:space="0" w:color="auto"/>
            </w:tcBorders>
            <w:shd w:val="clear" w:color="auto" w:fill="D6F2FA"/>
            <w:vAlign w:val="center"/>
          </w:tcPr>
          <w:p w14:paraId="00002C92" w14:textId="64CBBD01" w:rsidR="00595EB4" w:rsidRPr="00595EB4" w:rsidRDefault="00595EB4" w:rsidP="00595EB4">
            <w:pPr>
              <w:pStyle w:val="Tableheading"/>
              <w:jc w:val="center"/>
            </w:pPr>
            <w:r w:rsidRPr="00595EB4">
              <w:rPr>
                <w:rFonts w:cs="Arial"/>
                <w:sz w:val="18"/>
                <w:szCs w:val="18"/>
              </w:rPr>
              <w:t>Q1</w:t>
            </w:r>
            <w:r w:rsidRPr="00595EB4">
              <w:rPr>
                <w:rFonts w:cs="Arial"/>
                <w:sz w:val="18"/>
                <w:szCs w:val="18"/>
              </w:rPr>
              <w:br/>
              <w:t>2016–17</w:t>
            </w:r>
          </w:p>
        </w:tc>
        <w:tc>
          <w:tcPr>
            <w:tcW w:w="1030" w:type="dxa"/>
            <w:tcBorders>
              <w:bottom w:val="single" w:sz="4" w:space="0" w:color="auto"/>
            </w:tcBorders>
            <w:shd w:val="clear" w:color="auto" w:fill="D6F2FA"/>
            <w:vAlign w:val="center"/>
          </w:tcPr>
          <w:p w14:paraId="504A21E5" w14:textId="771ECC91" w:rsidR="00595EB4" w:rsidRPr="00595EB4" w:rsidRDefault="00595EB4" w:rsidP="00595EB4">
            <w:pPr>
              <w:pStyle w:val="Tableheadingcentred"/>
            </w:pPr>
            <w:r w:rsidRPr="00595EB4">
              <w:rPr>
                <w:rFonts w:cs="Arial"/>
                <w:sz w:val="18"/>
                <w:szCs w:val="18"/>
              </w:rPr>
              <w:t xml:space="preserve">Q2 </w:t>
            </w:r>
            <w:r w:rsidRPr="00595EB4">
              <w:rPr>
                <w:rFonts w:cs="Arial"/>
                <w:sz w:val="18"/>
                <w:szCs w:val="18"/>
              </w:rPr>
              <w:br/>
              <w:t>2016–17</w:t>
            </w:r>
          </w:p>
        </w:tc>
        <w:tc>
          <w:tcPr>
            <w:tcW w:w="1030" w:type="dxa"/>
            <w:tcBorders>
              <w:bottom w:val="single" w:sz="4" w:space="0" w:color="auto"/>
            </w:tcBorders>
            <w:shd w:val="clear" w:color="auto" w:fill="D6F2FA"/>
            <w:vAlign w:val="center"/>
          </w:tcPr>
          <w:p w14:paraId="3149470E" w14:textId="739AC485" w:rsidR="00595EB4" w:rsidRPr="00595EB4" w:rsidRDefault="00595EB4" w:rsidP="00595EB4">
            <w:pPr>
              <w:pStyle w:val="Tableheadingcentred"/>
            </w:pPr>
            <w:r w:rsidRPr="00595EB4">
              <w:rPr>
                <w:rFonts w:cs="Arial"/>
                <w:sz w:val="18"/>
                <w:szCs w:val="18"/>
              </w:rPr>
              <w:t>Q3</w:t>
            </w:r>
            <w:r w:rsidRPr="00595EB4">
              <w:rPr>
                <w:rFonts w:cs="Arial"/>
                <w:sz w:val="18"/>
                <w:szCs w:val="18"/>
              </w:rPr>
              <w:br/>
              <w:t>2016–17</w:t>
            </w:r>
          </w:p>
        </w:tc>
        <w:tc>
          <w:tcPr>
            <w:tcW w:w="1030" w:type="dxa"/>
            <w:tcBorders>
              <w:bottom w:val="single" w:sz="4" w:space="0" w:color="auto"/>
            </w:tcBorders>
            <w:shd w:val="clear" w:color="auto" w:fill="D6F2FA"/>
            <w:vAlign w:val="center"/>
          </w:tcPr>
          <w:p w14:paraId="21BA94DD" w14:textId="1372073F" w:rsidR="00595EB4" w:rsidRPr="00595EB4" w:rsidRDefault="00595EB4" w:rsidP="00595EB4">
            <w:pPr>
              <w:pStyle w:val="Tableheadingcentred"/>
            </w:pPr>
            <w:r w:rsidRPr="00595EB4">
              <w:rPr>
                <w:rFonts w:cs="Arial"/>
                <w:sz w:val="18"/>
                <w:szCs w:val="18"/>
              </w:rPr>
              <w:t>Q4</w:t>
            </w:r>
            <w:r w:rsidRPr="00595EB4">
              <w:rPr>
                <w:rFonts w:cs="Arial"/>
                <w:sz w:val="18"/>
                <w:szCs w:val="18"/>
              </w:rPr>
              <w:br/>
              <w:t>2016–17</w:t>
            </w:r>
          </w:p>
        </w:tc>
        <w:tc>
          <w:tcPr>
            <w:tcW w:w="1138" w:type="dxa"/>
            <w:tcBorders>
              <w:bottom w:val="single" w:sz="4" w:space="0" w:color="auto"/>
            </w:tcBorders>
            <w:shd w:val="clear" w:color="auto" w:fill="D6F2FA"/>
            <w:vAlign w:val="center"/>
          </w:tcPr>
          <w:p w14:paraId="0DEDA221" w14:textId="188CC924" w:rsidR="00595EB4" w:rsidRPr="00595EB4" w:rsidRDefault="00595EB4" w:rsidP="00595EB4">
            <w:pPr>
              <w:pStyle w:val="Tableheadingcentred"/>
            </w:pPr>
            <w:r w:rsidRPr="00595EB4">
              <w:rPr>
                <w:rFonts w:cs="Arial"/>
                <w:sz w:val="18"/>
                <w:szCs w:val="18"/>
              </w:rPr>
              <w:t>Actual Activity YTD</w:t>
            </w:r>
          </w:p>
        </w:tc>
        <w:tc>
          <w:tcPr>
            <w:tcW w:w="1247" w:type="dxa"/>
            <w:tcBorders>
              <w:bottom w:val="single" w:sz="4" w:space="0" w:color="auto"/>
            </w:tcBorders>
            <w:shd w:val="clear" w:color="auto" w:fill="D6F2FA"/>
            <w:vAlign w:val="center"/>
          </w:tcPr>
          <w:p w14:paraId="707183F5" w14:textId="6C0D27F7" w:rsidR="00595EB4" w:rsidRPr="00595EB4" w:rsidRDefault="00595EB4" w:rsidP="00595EB4">
            <w:pPr>
              <w:pStyle w:val="Tableheadingcentred"/>
            </w:pPr>
            <w:r w:rsidRPr="00595EB4">
              <w:rPr>
                <w:rFonts w:cs="Arial"/>
                <w:sz w:val="18"/>
                <w:szCs w:val="18"/>
              </w:rPr>
              <w:t>KPI</w:t>
            </w:r>
            <w:r w:rsidRPr="00595EB4">
              <w:rPr>
                <w:rFonts w:cs="Arial"/>
                <w:sz w:val="18"/>
                <w:szCs w:val="18"/>
              </w:rPr>
              <w:br/>
              <w:t>Annual Target</w:t>
            </w:r>
          </w:p>
        </w:tc>
        <w:tc>
          <w:tcPr>
            <w:tcW w:w="1047" w:type="dxa"/>
            <w:tcBorders>
              <w:bottom w:val="single" w:sz="4" w:space="0" w:color="auto"/>
            </w:tcBorders>
            <w:shd w:val="clear" w:color="auto" w:fill="D6F2FA"/>
            <w:vAlign w:val="center"/>
          </w:tcPr>
          <w:p w14:paraId="4DE04224" w14:textId="4FC33048" w:rsidR="00595EB4" w:rsidRPr="00595EB4" w:rsidRDefault="00595EB4" w:rsidP="00595EB4">
            <w:pPr>
              <w:pStyle w:val="Tableheadingcentred"/>
            </w:pPr>
            <w:r w:rsidRPr="00595EB4">
              <w:rPr>
                <w:rFonts w:cs="Arial"/>
                <w:sz w:val="18"/>
                <w:szCs w:val="18"/>
              </w:rPr>
              <w:t>% Actual Activity against Anticipated</w:t>
            </w:r>
          </w:p>
        </w:tc>
      </w:tr>
      <w:tr w:rsidR="00595EB4" w14:paraId="09388028" w14:textId="77777777" w:rsidTr="00A734D4">
        <w:trPr>
          <w:cantSplit/>
        </w:trPr>
        <w:tc>
          <w:tcPr>
            <w:tcW w:w="1622" w:type="dxa"/>
            <w:tcBorders>
              <w:top w:val="single" w:sz="4" w:space="0" w:color="auto"/>
              <w:bottom w:val="single" w:sz="4" w:space="0" w:color="auto"/>
            </w:tcBorders>
            <w:vAlign w:val="center"/>
          </w:tcPr>
          <w:p w14:paraId="1CF73CD6" w14:textId="59431957" w:rsidR="00595EB4" w:rsidRDefault="00595EB4" w:rsidP="00595EB4">
            <w:pPr>
              <w:spacing w:after="0"/>
            </w:pPr>
            <w:r>
              <w:rPr>
                <w:rFonts w:asciiTheme="majorHAnsi" w:hAnsiTheme="majorHAnsi" w:cs="Arial"/>
                <w:b/>
                <w:sz w:val="18"/>
                <w:szCs w:val="18"/>
              </w:rPr>
              <w:t xml:space="preserve">KPI 1.1: </w:t>
            </w:r>
            <w:r w:rsidRPr="000F768B">
              <w:rPr>
                <w:rFonts w:asciiTheme="majorHAnsi" w:hAnsiTheme="majorHAnsi" w:cs="Arial"/>
                <w:b/>
                <w:sz w:val="18"/>
                <w:szCs w:val="18"/>
              </w:rPr>
              <w:t xml:space="preserve">Number of participants at </w:t>
            </w:r>
            <w:r>
              <w:rPr>
                <w:rFonts w:asciiTheme="majorHAnsi" w:hAnsiTheme="majorHAnsi" w:cs="Arial"/>
                <w:b/>
                <w:sz w:val="18"/>
                <w:szCs w:val="18"/>
              </w:rPr>
              <w:t>A</w:t>
            </w:r>
            <w:r w:rsidRPr="000F768B">
              <w:rPr>
                <w:rFonts w:asciiTheme="majorHAnsi" w:hAnsiTheme="majorHAnsi" w:cs="Arial"/>
                <w:b/>
                <w:sz w:val="18"/>
                <w:szCs w:val="18"/>
              </w:rPr>
              <w:t xml:space="preserve">wareness </w:t>
            </w:r>
            <w:r>
              <w:rPr>
                <w:rFonts w:asciiTheme="majorHAnsi" w:hAnsiTheme="majorHAnsi" w:cs="Arial"/>
                <w:b/>
                <w:sz w:val="18"/>
                <w:szCs w:val="18"/>
              </w:rPr>
              <w:t>S</w:t>
            </w:r>
            <w:r w:rsidRPr="000F768B">
              <w:rPr>
                <w:rFonts w:asciiTheme="majorHAnsi" w:hAnsiTheme="majorHAnsi" w:cs="Arial"/>
                <w:b/>
                <w:sz w:val="18"/>
                <w:szCs w:val="18"/>
              </w:rPr>
              <w:t>essions</w:t>
            </w:r>
          </w:p>
        </w:tc>
        <w:tc>
          <w:tcPr>
            <w:tcW w:w="1206" w:type="dxa"/>
            <w:tcBorders>
              <w:top w:val="single" w:sz="4" w:space="0" w:color="auto"/>
              <w:bottom w:val="single" w:sz="4" w:space="0" w:color="auto"/>
            </w:tcBorders>
            <w:vAlign w:val="center"/>
          </w:tcPr>
          <w:p w14:paraId="53E58DC5" w14:textId="7E301104" w:rsidR="00595EB4" w:rsidRPr="00595EB4" w:rsidRDefault="00595EB4" w:rsidP="00595EB4">
            <w:pPr>
              <w:spacing w:after="0"/>
              <w:jc w:val="center"/>
            </w:pPr>
            <w:r w:rsidRPr="00595EB4">
              <w:rPr>
                <w:rFonts w:cs="Arial"/>
              </w:rPr>
              <w:t>394</w:t>
            </w:r>
          </w:p>
        </w:tc>
        <w:tc>
          <w:tcPr>
            <w:tcW w:w="1033" w:type="dxa"/>
            <w:tcBorders>
              <w:top w:val="single" w:sz="4" w:space="0" w:color="auto"/>
              <w:bottom w:val="single" w:sz="4" w:space="0" w:color="auto"/>
            </w:tcBorders>
            <w:vAlign w:val="center"/>
          </w:tcPr>
          <w:p w14:paraId="5FDE642C" w14:textId="77777777" w:rsidR="00595EB4" w:rsidRPr="00595EB4" w:rsidRDefault="00595EB4" w:rsidP="00595EB4">
            <w:pPr>
              <w:pStyle w:val="Tabletextcentred"/>
              <w:rPr>
                <w:szCs w:val="22"/>
              </w:rPr>
            </w:pPr>
          </w:p>
        </w:tc>
        <w:tc>
          <w:tcPr>
            <w:tcW w:w="1033" w:type="dxa"/>
            <w:tcBorders>
              <w:top w:val="single" w:sz="4" w:space="0" w:color="auto"/>
              <w:bottom w:val="single" w:sz="4" w:space="0" w:color="auto"/>
            </w:tcBorders>
            <w:vAlign w:val="center"/>
          </w:tcPr>
          <w:p w14:paraId="693C6446" w14:textId="77777777" w:rsidR="00595EB4" w:rsidRPr="00595EB4" w:rsidRDefault="00595EB4" w:rsidP="00595EB4">
            <w:pPr>
              <w:pStyle w:val="Tabletextcentred"/>
              <w:rPr>
                <w:szCs w:val="22"/>
              </w:rPr>
            </w:pPr>
          </w:p>
        </w:tc>
        <w:tc>
          <w:tcPr>
            <w:tcW w:w="1033" w:type="dxa"/>
            <w:tcBorders>
              <w:top w:val="single" w:sz="4" w:space="0" w:color="auto"/>
              <w:bottom w:val="single" w:sz="4" w:space="0" w:color="auto"/>
            </w:tcBorders>
            <w:vAlign w:val="center"/>
          </w:tcPr>
          <w:p w14:paraId="287CA8F7" w14:textId="6337A832" w:rsidR="00595EB4" w:rsidRPr="00595EB4" w:rsidRDefault="00595EB4" w:rsidP="00595EB4">
            <w:pPr>
              <w:pStyle w:val="Tabletextcentred"/>
              <w:rPr>
                <w:szCs w:val="22"/>
              </w:rPr>
            </w:pPr>
          </w:p>
        </w:tc>
        <w:tc>
          <w:tcPr>
            <w:tcW w:w="1141" w:type="dxa"/>
            <w:tcBorders>
              <w:top w:val="single" w:sz="4" w:space="0" w:color="auto"/>
              <w:bottom w:val="single" w:sz="4" w:space="0" w:color="auto"/>
            </w:tcBorders>
            <w:vAlign w:val="center"/>
          </w:tcPr>
          <w:p w14:paraId="516AE2DF" w14:textId="1509D4AC" w:rsidR="00595EB4" w:rsidRPr="00595EB4" w:rsidRDefault="00595EB4" w:rsidP="00595EB4">
            <w:pPr>
              <w:pStyle w:val="Tabletextcentred"/>
              <w:rPr>
                <w:szCs w:val="22"/>
              </w:rPr>
            </w:pPr>
            <w:r w:rsidRPr="00595EB4">
              <w:rPr>
                <w:rFonts w:cs="Arial"/>
                <w:b/>
                <w:szCs w:val="22"/>
              </w:rPr>
              <w:t>394</w:t>
            </w:r>
          </w:p>
        </w:tc>
        <w:tc>
          <w:tcPr>
            <w:tcW w:w="1251" w:type="dxa"/>
            <w:tcBorders>
              <w:top w:val="single" w:sz="4" w:space="0" w:color="auto"/>
              <w:bottom w:val="single" w:sz="4" w:space="0" w:color="auto"/>
            </w:tcBorders>
            <w:vAlign w:val="center"/>
          </w:tcPr>
          <w:p w14:paraId="0C8E685F" w14:textId="353074AC" w:rsidR="00595EB4" w:rsidRPr="00595EB4" w:rsidRDefault="00595EB4" w:rsidP="00595EB4">
            <w:pPr>
              <w:pStyle w:val="Tabletextcentred"/>
              <w:rPr>
                <w:szCs w:val="22"/>
              </w:rPr>
            </w:pPr>
            <w:r w:rsidRPr="00595EB4">
              <w:rPr>
                <w:rFonts w:cs="Arial"/>
                <w:b/>
                <w:szCs w:val="22"/>
              </w:rPr>
              <w:t>1,600</w:t>
            </w:r>
          </w:p>
        </w:tc>
        <w:tc>
          <w:tcPr>
            <w:tcW w:w="1014" w:type="dxa"/>
            <w:tcBorders>
              <w:top w:val="single" w:sz="4" w:space="0" w:color="auto"/>
              <w:bottom w:val="single" w:sz="4" w:space="0" w:color="auto"/>
            </w:tcBorders>
            <w:vAlign w:val="center"/>
          </w:tcPr>
          <w:p w14:paraId="4E46B271" w14:textId="1EF8A814" w:rsidR="00595EB4" w:rsidRPr="00595EB4" w:rsidRDefault="00595EB4" w:rsidP="00595EB4">
            <w:pPr>
              <w:pStyle w:val="Tabletextcentred"/>
              <w:rPr>
                <w:szCs w:val="22"/>
              </w:rPr>
            </w:pPr>
            <w:r w:rsidRPr="00595EB4">
              <w:rPr>
                <w:rFonts w:cs="Arial"/>
                <w:b/>
                <w:szCs w:val="22"/>
              </w:rPr>
              <w:t>25%</w:t>
            </w:r>
          </w:p>
        </w:tc>
      </w:tr>
      <w:tr w:rsidR="00595EB4" w14:paraId="62DC857F" w14:textId="77777777" w:rsidTr="00595EB4">
        <w:trPr>
          <w:cantSplit/>
        </w:trPr>
        <w:tc>
          <w:tcPr>
            <w:tcW w:w="1609" w:type="dxa"/>
            <w:tcBorders>
              <w:top w:val="single" w:sz="4" w:space="0" w:color="auto"/>
              <w:bottom w:val="single" w:sz="4" w:space="0" w:color="auto"/>
            </w:tcBorders>
            <w:vAlign w:val="center"/>
          </w:tcPr>
          <w:p w14:paraId="57992F9C" w14:textId="4454C695" w:rsidR="00595EB4" w:rsidRDefault="00595EB4" w:rsidP="00595EB4">
            <w:pPr>
              <w:spacing w:after="0"/>
            </w:pPr>
            <w:r>
              <w:rPr>
                <w:rFonts w:asciiTheme="majorHAnsi" w:hAnsiTheme="majorHAnsi" w:cs="Arial"/>
                <w:b/>
                <w:sz w:val="18"/>
                <w:szCs w:val="18"/>
              </w:rPr>
              <w:t xml:space="preserve">KPI 1.2: </w:t>
            </w:r>
            <w:r w:rsidRPr="000F768B">
              <w:rPr>
                <w:rFonts w:asciiTheme="majorHAnsi" w:hAnsiTheme="majorHAnsi" w:cs="Arial"/>
                <w:b/>
                <w:sz w:val="18"/>
                <w:szCs w:val="18"/>
              </w:rPr>
              <w:t>Number of promotion/conference events</w:t>
            </w:r>
            <w:r>
              <w:rPr>
                <w:rFonts w:asciiTheme="majorHAnsi" w:hAnsiTheme="majorHAnsi" w:cs="Arial"/>
                <w:b/>
                <w:sz w:val="18"/>
                <w:szCs w:val="18"/>
              </w:rPr>
              <w:t xml:space="preserve"> (National)</w:t>
            </w:r>
          </w:p>
        </w:tc>
        <w:tc>
          <w:tcPr>
            <w:tcW w:w="1202" w:type="dxa"/>
            <w:tcBorders>
              <w:top w:val="single" w:sz="4" w:space="0" w:color="auto"/>
              <w:bottom w:val="single" w:sz="4" w:space="0" w:color="auto"/>
            </w:tcBorders>
            <w:vAlign w:val="center"/>
          </w:tcPr>
          <w:p w14:paraId="2AC44C8A" w14:textId="03530844" w:rsidR="00595EB4" w:rsidRPr="00595EB4" w:rsidRDefault="00595EB4" w:rsidP="00595EB4">
            <w:pPr>
              <w:spacing w:after="0"/>
              <w:jc w:val="center"/>
            </w:pPr>
            <w:r w:rsidRPr="00595EB4">
              <w:rPr>
                <w:rFonts w:cs="Arial"/>
              </w:rPr>
              <w:t>4</w:t>
            </w:r>
          </w:p>
        </w:tc>
        <w:tc>
          <w:tcPr>
            <w:tcW w:w="1030" w:type="dxa"/>
            <w:tcBorders>
              <w:top w:val="single" w:sz="4" w:space="0" w:color="auto"/>
              <w:bottom w:val="single" w:sz="4" w:space="0" w:color="auto"/>
            </w:tcBorders>
            <w:vAlign w:val="center"/>
          </w:tcPr>
          <w:p w14:paraId="657BA0EF" w14:textId="77777777" w:rsidR="00595EB4" w:rsidRPr="00595EB4" w:rsidRDefault="00595EB4" w:rsidP="00595EB4">
            <w:pPr>
              <w:pStyle w:val="Tabletextcentred"/>
              <w:rPr>
                <w:szCs w:val="22"/>
              </w:rPr>
            </w:pPr>
          </w:p>
        </w:tc>
        <w:tc>
          <w:tcPr>
            <w:tcW w:w="1030" w:type="dxa"/>
            <w:tcBorders>
              <w:top w:val="single" w:sz="4" w:space="0" w:color="auto"/>
              <w:bottom w:val="single" w:sz="4" w:space="0" w:color="auto"/>
            </w:tcBorders>
            <w:vAlign w:val="center"/>
          </w:tcPr>
          <w:p w14:paraId="3C893E6D" w14:textId="77777777" w:rsidR="00595EB4" w:rsidRPr="00595EB4" w:rsidRDefault="00595EB4" w:rsidP="00595EB4">
            <w:pPr>
              <w:pStyle w:val="Tabletextcentred"/>
              <w:rPr>
                <w:szCs w:val="22"/>
              </w:rPr>
            </w:pPr>
          </w:p>
        </w:tc>
        <w:tc>
          <w:tcPr>
            <w:tcW w:w="1030" w:type="dxa"/>
            <w:tcBorders>
              <w:top w:val="single" w:sz="4" w:space="0" w:color="auto"/>
              <w:bottom w:val="single" w:sz="4" w:space="0" w:color="auto"/>
            </w:tcBorders>
            <w:vAlign w:val="center"/>
          </w:tcPr>
          <w:p w14:paraId="47B90DF1" w14:textId="4CDFB0AA" w:rsidR="00595EB4" w:rsidRPr="00595EB4" w:rsidRDefault="00595EB4" w:rsidP="00595EB4">
            <w:pPr>
              <w:pStyle w:val="Tabletextcentred"/>
              <w:rPr>
                <w:szCs w:val="22"/>
              </w:rPr>
            </w:pPr>
          </w:p>
        </w:tc>
        <w:tc>
          <w:tcPr>
            <w:tcW w:w="1138" w:type="dxa"/>
            <w:tcBorders>
              <w:top w:val="single" w:sz="4" w:space="0" w:color="auto"/>
              <w:bottom w:val="single" w:sz="4" w:space="0" w:color="auto"/>
            </w:tcBorders>
            <w:vAlign w:val="center"/>
          </w:tcPr>
          <w:p w14:paraId="2158BF27" w14:textId="2370CCC8" w:rsidR="00595EB4" w:rsidRPr="00595EB4" w:rsidRDefault="00595EB4" w:rsidP="00595EB4">
            <w:pPr>
              <w:pStyle w:val="Tabletextcentred"/>
              <w:rPr>
                <w:szCs w:val="22"/>
              </w:rPr>
            </w:pPr>
            <w:r w:rsidRPr="00595EB4">
              <w:rPr>
                <w:rFonts w:cs="Arial"/>
                <w:b/>
                <w:szCs w:val="22"/>
              </w:rPr>
              <w:t>4</w:t>
            </w:r>
          </w:p>
        </w:tc>
        <w:tc>
          <w:tcPr>
            <w:tcW w:w="1247" w:type="dxa"/>
            <w:tcBorders>
              <w:top w:val="single" w:sz="4" w:space="0" w:color="auto"/>
              <w:bottom w:val="single" w:sz="4" w:space="0" w:color="auto"/>
            </w:tcBorders>
            <w:vAlign w:val="center"/>
          </w:tcPr>
          <w:p w14:paraId="64AA0485" w14:textId="396CD15A" w:rsidR="00595EB4" w:rsidRPr="00595EB4" w:rsidRDefault="00595EB4" w:rsidP="00595EB4">
            <w:pPr>
              <w:pStyle w:val="Tabletextcentred"/>
              <w:rPr>
                <w:szCs w:val="22"/>
              </w:rPr>
            </w:pPr>
            <w:r w:rsidRPr="00595EB4">
              <w:rPr>
                <w:rFonts w:cs="Arial"/>
                <w:b/>
                <w:szCs w:val="22"/>
              </w:rPr>
              <w:t xml:space="preserve">7 </w:t>
            </w:r>
          </w:p>
        </w:tc>
        <w:tc>
          <w:tcPr>
            <w:tcW w:w="1047" w:type="dxa"/>
            <w:tcBorders>
              <w:top w:val="single" w:sz="4" w:space="0" w:color="auto"/>
              <w:bottom w:val="single" w:sz="4" w:space="0" w:color="auto"/>
            </w:tcBorders>
            <w:vAlign w:val="center"/>
          </w:tcPr>
          <w:p w14:paraId="697C5BD9" w14:textId="1EA8391F" w:rsidR="00595EB4" w:rsidRPr="00595EB4" w:rsidRDefault="00595EB4" w:rsidP="00595EB4">
            <w:pPr>
              <w:pStyle w:val="Tabletextcentred"/>
              <w:rPr>
                <w:szCs w:val="22"/>
              </w:rPr>
            </w:pPr>
            <w:r w:rsidRPr="00595EB4">
              <w:rPr>
                <w:rFonts w:cs="Arial"/>
                <w:b/>
                <w:szCs w:val="22"/>
              </w:rPr>
              <w:t>57%</w:t>
            </w:r>
          </w:p>
        </w:tc>
      </w:tr>
      <w:tr w:rsidR="00595EB4" w14:paraId="1B560E11" w14:textId="77777777" w:rsidTr="00595EB4">
        <w:trPr>
          <w:cantSplit/>
        </w:trPr>
        <w:tc>
          <w:tcPr>
            <w:tcW w:w="1609" w:type="dxa"/>
            <w:tcBorders>
              <w:top w:val="single" w:sz="4" w:space="0" w:color="auto"/>
              <w:bottom w:val="single" w:sz="6" w:space="0" w:color="auto"/>
            </w:tcBorders>
            <w:vAlign w:val="center"/>
          </w:tcPr>
          <w:p w14:paraId="40FA4808" w14:textId="36A4226B" w:rsidR="00595EB4" w:rsidRPr="00A35060" w:rsidRDefault="00595EB4" w:rsidP="00595EB4">
            <w:pPr>
              <w:spacing w:after="0"/>
            </w:pPr>
            <w:r>
              <w:rPr>
                <w:rFonts w:asciiTheme="majorHAnsi" w:hAnsiTheme="majorHAnsi" w:cs="Arial"/>
                <w:b/>
                <w:sz w:val="18"/>
                <w:szCs w:val="18"/>
              </w:rPr>
              <w:t xml:space="preserve">KPI 2.1: </w:t>
            </w:r>
            <w:r w:rsidRPr="000F768B">
              <w:rPr>
                <w:rFonts w:asciiTheme="majorHAnsi" w:hAnsiTheme="majorHAnsi" w:cs="Arial"/>
                <w:b/>
                <w:sz w:val="18"/>
                <w:szCs w:val="18"/>
              </w:rPr>
              <w:t>Number of training sessions</w:t>
            </w:r>
            <w:r>
              <w:rPr>
                <w:rFonts w:asciiTheme="majorHAnsi" w:hAnsiTheme="majorHAnsi" w:cs="Arial"/>
                <w:b/>
                <w:sz w:val="18"/>
                <w:szCs w:val="18"/>
              </w:rPr>
              <w:t xml:space="preserve"> x individual</w:t>
            </w:r>
          </w:p>
        </w:tc>
        <w:tc>
          <w:tcPr>
            <w:tcW w:w="1202" w:type="dxa"/>
            <w:tcBorders>
              <w:top w:val="single" w:sz="4" w:space="0" w:color="auto"/>
              <w:bottom w:val="single" w:sz="6" w:space="0" w:color="auto"/>
            </w:tcBorders>
            <w:vAlign w:val="center"/>
          </w:tcPr>
          <w:p w14:paraId="5CAA2E26" w14:textId="51C939A3" w:rsidR="00595EB4" w:rsidRPr="00595EB4" w:rsidRDefault="00595EB4" w:rsidP="00595EB4">
            <w:pPr>
              <w:spacing w:after="0"/>
              <w:jc w:val="center"/>
            </w:pPr>
            <w:r w:rsidRPr="00595EB4">
              <w:rPr>
                <w:rFonts w:cs="Arial"/>
              </w:rPr>
              <w:t>45</w:t>
            </w:r>
          </w:p>
        </w:tc>
        <w:tc>
          <w:tcPr>
            <w:tcW w:w="1030" w:type="dxa"/>
            <w:tcBorders>
              <w:top w:val="single" w:sz="4" w:space="0" w:color="auto"/>
              <w:bottom w:val="single" w:sz="6" w:space="0" w:color="auto"/>
            </w:tcBorders>
            <w:vAlign w:val="center"/>
          </w:tcPr>
          <w:p w14:paraId="0C17C134" w14:textId="77777777" w:rsidR="00595EB4" w:rsidRPr="00595EB4" w:rsidRDefault="00595EB4" w:rsidP="00595EB4">
            <w:pPr>
              <w:pStyle w:val="Tabletextcentred"/>
              <w:rPr>
                <w:szCs w:val="22"/>
              </w:rPr>
            </w:pPr>
          </w:p>
        </w:tc>
        <w:tc>
          <w:tcPr>
            <w:tcW w:w="1030" w:type="dxa"/>
            <w:tcBorders>
              <w:top w:val="single" w:sz="4" w:space="0" w:color="auto"/>
              <w:bottom w:val="single" w:sz="6" w:space="0" w:color="auto"/>
            </w:tcBorders>
            <w:vAlign w:val="center"/>
          </w:tcPr>
          <w:p w14:paraId="67AF0A8B" w14:textId="77777777" w:rsidR="00595EB4" w:rsidRPr="00595EB4" w:rsidRDefault="00595EB4" w:rsidP="00595EB4">
            <w:pPr>
              <w:pStyle w:val="Tabletextcentred"/>
              <w:rPr>
                <w:szCs w:val="22"/>
              </w:rPr>
            </w:pPr>
          </w:p>
        </w:tc>
        <w:tc>
          <w:tcPr>
            <w:tcW w:w="1030" w:type="dxa"/>
            <w:tcBorders>
              <w:top w:val="single" w:sz="4" w:space="0" w:color="auto"/>
              <w:bottom w:val="single" w:sz="6" w:space="0" w:color="auto"/>
            </w:tcBorders>
            <w:vAlign w:val="center"/>
          </w:tcPr>
          <w:p w14:paraId="07B96071" w14:textId="782CBF2D" w:rsidR="00595EB4" w:rsidRPr="00595EB4" w:rsidRDefault="00595EB4" w:rsidP="00595EB4">
            <w:pPr>
              <w:pStyle w:val="Tabletextcentred"/>
              <w:rPr>
                <w:szCs w:val="22"/>
              </w:rPr>
            </w:pPr>
          </w:p>
        </w:tc>
        <w:tc>
          <w:tcPr>
            <w:tcW w:w="1138" w:type="dxa"/>
            <w:tcBorders>
              <w:top w:val="single" w:sz="4" w:space="0" w:color="auto"/>
              <w:bottom w:val="single" w:sz="6" w:space="0" w:color="auto"/>
            </w:tcBorders>
            <w:vAlign w:val="center"/>
          </w:tcPr>
          <w:p w14:paraId="6DB59375" w14:textId="77777777" w:rsidR="00595EB4" w:rsidRPr="00595EB4" w:rsidRDefault="00595EB4" w:rsidP="00595EB4">
            <w:pPr>
              <w:pStyle w:val="Tabletextcentred"/>
              <w:rPr>
                <w:szCs w:val="22"/>
              </w:rPr>
            </w:pPr>
          </w:p>
        </w:tc>
        <w:tc>
          <w:tcPr>
            <w:tcW w:w="1247" w:type="dxa"/>
            <w:tcBorders>
              <w:top w:val="single" w:sz="4" w:space="0" w:color="auto"/>
              <w:bottom w:val="single" w:sz="6" w:space="0" w:color="auto"/>
            </w:tcBorders>
            <w:vAlign w:val="center"/>
          </w:tcPr>
          <w:p w14:paraId="69E6E97C" w14:textId="77777777" w:rsidR="00595EB4" w:rsidRPr="00595EB4" w:rsidRDefault="00595EB4" w:rsidP="00595EB4">
            <w:pPr>
              <w:pStyle w:val="Tabletextcentred"/>
              <w:rPr>
                <w:szCs w:val="22"/>
              </w:rPr>
            </w:pPr>
          </w:p>
        </w:tc>
        <w:tc>
          <w:tcPr>
            <w:tcW w:w="1047" w:type="dxa"/>
            <w:tcBorders>
              <w:top w:val="single" w:sz="4" w:space="0" w:color="auto"/>
              <w:bottom w:val="single" w:sz="6" w:space="0" w:color="auto"/>
            </w:tcBorders>
            <w:vAlign w:val="center"/>
          </w:tcPr>
          <w:p w14:paraId="5A982F29" w14:textId="4C724A4A" w:rsidR="00595EB4" w:rsidRPr="00595EB4" w:rsidRDefault="00595EB4" w:rsidP="00595EB4">
            <w:pPr>
              <w:pStyle w:val="Tabletextcentred"/>
              <w:rPr>
                <w:szCs w:val="22"/>
              </w:rPr>
            </w:pPr>
          </w:p>
        </w:tc>
      </w:tr>
      <w:tr w:rsidR="00595EB4" w14:paraId="199D6FA9" w14:textId="77777777" w:rsidTr="00595EB4">
        <w:trPr>
          <w:cantSplit/>
        </w:trPr>
        <w:tc>
          <w:tcPr>
            <w:tcW w:w="1609" w:type="dxa"/>
            <w:tcBorders>
              <w:top w:val="single" w:sz="4" w:space="0" w:color="auto"/>
              <w:bottom w:val="single" w:sz="6" w:space="0" w:color="auto"/>
            </w:tcBorders>
            <w:vAlign w:val="center"/>
          </w:tcPr>
          <w:p w14:paraId="058B4A0E" w14:textId="47D158BF" w:rsidR="00595EB4" w:rsidRDefault="00595EB4" w:rsidP="00595EB4">
            <w:pPr>
              <w:spacing w:after="0"/>
              <w:rPr>
                <w:rFonts w:asciiTheme="majorHAnsi" w:hAnsiTheme="majorHAnsi" w:cs="Arial"/>
                <w:b/>
                <w:sz w:val="18"/>
                <w:szCs w:val="18"/>
              </w:rPr>
            </w:pPr>
            <w:r>
              <w:rPr>
                <w:rFonts w:asciiTheme="majorHAnsi" w:hAnsiTheme="majorHAnsi" w:cs="Arial"/>
                <w:b/>
                <w:sz w:val="18"/>
                <w:szCs w:val="18"/>
              </w:rPr>
              <w:t>KPI 2.2: Number of training sessions x group demonstration</w:t>
            </w:r>
          </w:p>
        </w:tc>
        <w:tc>
          <w:tcPr>
            <w:tcW w:w="1202" w:type="dxa"/>
            <w:tcBorders>
              <w:top w:val="single" w:sz="4" w:space="0" w:color="auto"/>
              <w:bottom w:val="single" w:sz="6" w:space="0" w:color="auto"/>
            </w:tcBorders>
            <w:vAlign w:val="center"/>
          </w:tcPr>
          <w:p w14:paraId="4BA4B23C" w14:textId="454673A0" w:rsidR="00595EB4" w:rsidRPr="00595EB4" w:rsidRDefault="00595EB4" w:rsidP="00595EB4">
            <w:pPr>
              <w:spacing w:after="0"/>
              <w:jc w:val="center"/>
              <w:rPr>
                <w:rFonts w:cs="Arial"/>
              </w:rPr>
            </w:pPr>
            <w:r w:rsidRPr="00595EB4">
              <w:rPr>
                <w:rFonts w:cs="Arial"/>
              </w:rPr>
              <w:t>48</w:t>
            </w:r>
          </w:p>
        </w:tc>
        <w:tc>
          <w:tcPr>
            <w:tcW w:w="1030" w:type="dxa"/>
            <w:tcBorders>
              <w:top w:val="single" w:sz="4" w:space="0" w:color="auto"/>
              <w:bottom w:val="single" w:sz="6" w:space="0" w:color="auto"/>
            </w:tcBorders>
            <w:vAlign w:val="center"/>
          </w:tcPr>
          <w:p w14:paraId="085675A7" w14:textId="77777777" w:rsidR="00595EB4" w:rsidRPr="00595EB4" w:rsidRDefault="00595EB4" w:rsidP="00595EB4">
            <w:pPr>
              <w:pStyle w:val="Tabletextcentred"/>
              <w:rPr>
                <w:szCs w:val="22"/>
              </w:rPr>
            </w:pPr>
          </w:p>
        </w:tc>
        <w:tc>
          <w:tcPr>
            <w:tcW w:w="1030" w:type="dxa"/>
            <w:tcBorders>
              <w:top w:val="single" w:sz="4" w:space="0" w:color="auto"/>
              <w:bottom w:val="single" w:sz="6" w:space="0" w:color="auto"/>
            </w:tcBorders>
            <w:vAlign w:val="center"/>
          </w:tcPr>
          <w:p w14:paraId="77EC3093" w14:textId="77777777" w:rsidR="00595EB4" w:rsidRPr="00595EB4" w:rsidRDefault="00595EB4" w:rsidP="00595EB4">
            <w:pPr>
              <w:pStyle w:val="Tabletextcentred"/>
              <w:rPr>
                <w:szCs w:val="22"/>
              </w:rPr>
            </w:pPr>
          </w:p>
        </w:tc>
        <w:tc>
          <w:tcPr>
            <w:tcW w:w="1030" w:type="dxa"/>
            <w:tcBorders>
              <w:top w:val="single" w:sz="4" w:space="0" w:color="auto"/>
              <w:bottom w:val="single" w:sz="6" w:space="0" w:color="auto"/>
            </w:tcBorders>
            <w:vAlign w:val="center"/>
          </w:tcPr>
          <w:p w14:paraId="3B107E59" w14:textId="77777777" w:rsidR="00595EB4" w:rsidRPr="00595EB4" w:rsidRDefault="00595EB4" w:rsidP="00595EB4">
            <w:pPr>
              <w:pStyle w:val="Tabletextcentred"/>
              <w:rPr>
                <w:szCs w:val="22"/>
              </w:rPr>
            </w:pPr>
          </w:p>
        </w:tc>
        <w:tc>
          <w:tcPr>
            <w:tcW w:w="1138" w:type="dxa"/>
            <w:tcBorders>
              <w:top w:val="single" w:sz="4" w:space="0" w:color="auto"/>
              <w:bottom w:val="single" w:sz="6" w:space="0" w:color="auto"/>
            </w:tcBorders>
            <w:vAlign w:val="center"/>
          </w:tcPr>
          <w:p w14:paraId="02CBFB6C" w14:textId="77777777" w:rsidR="00595EB4" w:rsidRPr="00595EB4" w:rsidRDefault="00595EB4" w:rsidP="00595EB4">
            <w:pPr>
              <w:pStyle w:val="Tabletextcentred"/>
              <w:rPr>
                <w:szCs w:val="22"/>
              </w:rPr>
            </w:pPr>
          </w:p>
        </w:tc>
        <w:tc>
          <w:tcPr>
            <w:tcW w:w="1247" w:type="dxa"/>
            <w:tcBorders>
              <w:top w:val="single" w:sz="4" w:space="0" w:color="auto"/>
              <w:bottom w:val="single" w:sz="6" w:space="0" w:color="auto"/>
            </w:tcBorders>
            <w:vAlign w:val="center"/>
          </w:tcPr>
          <w:p w14:paraId="6678FE9A" w14:textId="77777777" w:rsidR="00595EB4" w:rsidRPr="00595EB4" w:rsidRDefault="00595EB4" w:rsidP="00595EB4">
            <w:pPr>
              <w:pStyle w:val="Tabletextcentred"/>
              <w:rPr>
                <w:szCs w:val="22"/>
              </w:rPr>
            </w:pPr>
          </w:p>
        </w:tc>
        <w:tc>
          <w:tcPr>
            <w:tcW w:w="1047" w:type="dxa"/>
            <w:tcBorders>
              <w:top w:val="single" w:sz="4" w:space="0" w:color="auto"/>
              <w:bottom w:val="single" w:sz="6" w:space="0" w:color="auto"/>
            </w:tcBorders>
            <w:vAlign w:val="center"/>
          </w:tcPr>
          <w:p w14:paraId="4ACC45C5" w14:textId="77777777" w:rsidR="00595EB4" w:rsidRPr="00595EB4" w:rsidRDefault="00595EB4" w:rsidP="00595EB4">
            <w:pPr>
              <w:pStyle w:val="Tabletextcentred"/>
              <w:rPr>
                <w:szCs w:val="22"/>
              </w:rPr>
            </w:pPr>
          </w:p>
        </w:tc>
      </w:tr>
      <w:tr w:rsidR="00595EB4" w14:paraId="5FEC08AA" w14:textId="77777777" w:rsidTr="00595EB4">
        <w:trPr>
          <w:cantSplit/>
        </w:trPr>
        <w:tc>
          <w:tcPr>
            <w:tcW w:w="1609" w:type="dxa"/>
            <w:tcBorders>
              <w:top w:val="single" w:sz="4" w:space="0" w:color="auto"/>
              <w:bottom w:val="single" w:sz="6" w:space="0" w:color="auto"/>
            </w:tcBorders>
            <w:vAlign w:val="center"/>
          </w:tcPr>
          <w:p w14:paraId="717C0719" w14:textId="7D155B4A" w:rsidR="00595EB4" w:rsidRDefault="00595EB4" w:rsidP="00595EB4">
            <w:pPr>
              <w:spacing w:after="0"/>
              <w:rPr>
                <w:rFonts w:asciiTheme="majorHAnsi" w:hAnsiTheme="majorHAnsi" w:cs="Arial"/>
                <w:b/>
                <w:sz w:val="18"/>
                <w:szCs w:val="18"/>
              </w:rPr>
            </w:pPr>
            <w:r>
              <w:rPr>
                <w:rFonts w:asciiTheme="majorHAnsi" w:hAnsiTheme="majorHAnsi" w:cs="Arial"/>
                <w:b/>
                <w:sz w:val="18"/>
                <w:szCs w:val="18"/>
              </w:rPr>
              <w:t>KPI 2.3: Number of training sessions x group hands-on</w:t>
            </w:r>
          </w:p>
        </w:tc>
        <w:tc>
          <w:tcPr>
            <w:tcW w:w="1202" w:type="dxa"/>
            <w:tcBorders>
              <w:top w:val="single" w:sz="4" w:space="0" w:color="auto"/>
              <w:bottom w:val="single" w:sz="6" w:space="0" w:color="auto"/>
            </w:tcBorders>
            <w:vAlign w:val="center"/>
          </w:tcPr>
          <w:p w14:paraId="3E293A06" w14:textId="375C178D" w:rsidR="00595EB4" w:rsidRPr="00595EB4" w:rsidRDefault="00595EB4" w:rsidP="00595EB4">
            <w:pPr>
              <w:spacing w:after="0"/>
              <w:jc w:val="center"/>
              <w:rPr>
                <w:rFonts w:cs="Arial"/>
              </w:rPr>
            </w:pPr>
            <w:r w:rsidRPr="00595EB4">
              <w:rPr>
                <w:rFonts w:cs="Arial"/>
              </w:rPr>
              <w:t>4</w:t>
            </w:r>
          </w:p>
        </w:tc>
        <w:tc>
          <w:tcPr>
            <w:tcW w:w="1030" w:type="dxa"/>
            <w:tcBorders>
              <w:top w:val="single" w:sz="4" w:space="0" w:color="auto"/>
              <w:bottom w:val="single" w:sz="6" w:space="0" w:color="auto"/>
            </w:tcBorders>
            <w:vAlign w:val="center"/>
          </w:tcPr>
          <w:p w14:paraId="4EA3E068" w14:textId="77777777" w:rsidR="00595EB4" w:rsidRPr="00595EB4" w:rsidRDefault="00595EB4" w:rsidP="00595EB4">
            <w:pPr>
              <w:pStyle w:val="Tabletextcentred"/>
              <w:rPr>
                <w:szCs w:val="22"/>
              </w:rPr>
            </w:pPr>
          </w:p>
        </w:tc>
        <w:tc>
          <w:tcPr>
            <w:tcW w:w="1030" w:type="dxa"/>
            <w:tcBorders>
              <w:top w:val="single" w:sz="4" w:space="0" w:color="auto"/>
              <w:bottom w:val="single" w:sz="6" w:space="0" w:color="auto"/>
            </w:tcBorders>
            <w:vAlign w:val="center"/>
          </w:tcPr>
          <w:p w14:paraId="7FE4C2A7" w14:textId="77777777" w:rsidR="00595EB4" w:rsidRPr="00595EB4" w:rsidRDefault="00595EB4" w:rsidP="00595EB4">
            <w:pPr>
              <w:pStyle w:val="Tabletextcentred"/>
              <w:rPr>
                <w:szCs w:val="22"/>
              </w:rPr>
            </w:pPr>
          </w:p>
        </w:tc>
        <w:tc>
          <w:tcPr>
            <w:tcW w:w="1030" w:type="dxa"/>
            <w:tcBorders>
              <w:top w:val="single" w:sz="4" w:space="0" w:color="auto"/>
              <w:bottom w:val="single" w:sz="6" w:space="0" w:color="auto"/>
            </w:tcBorders>
            <w:vAlign w:val="center"/>
          </w:tcPr>
          <w:p w14:paraId="060C8ED0" w14:textId="77777777" w:rsidR="00595EB4" w:rsidRPr="00595EB4" w:rsidRDefault="00595EB4" w:rsidP="00595EB4">
            <w:pPr>
              <w:pStyle w:val="Tabletextcentred"/>
              <w:rPr>
                <w:szCs w:val="22"/>
              </w:rPr>
            </w:pPr>
          </w:p>
        </w:tc>
        <w:tc>
          <w:tcPr>
            <w:tcW w:w="1138" w:type="dxa"/>
            <w:tcBorders>
              <w:top w:val="single" w:sz="4" w:space="0" w:color="auto"/>
              <w:bottom w:val="single" w:sz="6" w:space="0" w:color="auto"/>
            </w:tcBorders>
            <w:vAlign w:val="center"/>
          </w:tcPr>
          <w:p w14:paraId="2ACF64B5" w14:textId="77777777" w:rsidR="00595EB4" w:rsidRPr="00595EB4" w:rsidRDefault="00595EB4" w:rsidP="00595EB4">
            <w:pPr>
              <w:pStyle w:val="Tabletextcentred"/>
              <w:rPr>
                <w:szCs w:val="22"/>
              </w:rPr>
            </w:pPr>
          </w:p>
        </w:tc>
        <w:tc>
          <w:tcPr>
            <w:tcW w:w="1247" w:type="dxa"/>
            <w:tcBorders>
              <w:top w:val="single" w:sz="4" w:space="0" w:color="auto"/>
              <w:bottom w:val="single" w:sz="6" w:space="0" w:color="auto"/>
            </w:tcBorders>
            <w:vAlign w:val="center"/>
          </w:tcPr>
          <w:p w14:paraId="71572E7F" w14:textId="77777777" w:rsidR="00595EB4" w:rsidRPr="00595EB4" w:rsidRDefault="00595EB4" w:rsidP="00595EB4">
            <w:pPr>
              <w:pStyle w:val="Tabletextcentred"/>
              <w:rPr>
                <w:szCs w:val="22"/>
              </w:rPr>
            </w:pPr>
          </w:p>
        </w:tc>
        <w:tc>
          <w:tcPr>
            <w:tcW w:w="1047" w:type="dxa"/>
            <w:tcBorders>
              <w:top w:val="single" w:sz="4" w:space="0" w:color="auto"/>
              <w:bottom w:val="single" w:sz="6" w:space="0" w:color="auto"/>
            </w:tcBorders>
            <w:vAlign w:val="center"/>
          </w:tcPr>
          <w:p w14:paraId="389FA790" w14:textId="77777777" w:rsidR="00595EB4" w:rsidRPr="00595EB4" w:rsidRDefault="00595EB4" w:rsidP="00595EB4">
            <w:pPr>
              <w:pStyle w:val="Tabletextcentred"/>
              <w:rPr>
                <w:szCs w:val="22"/>
              </w:rPr>
            </w:pPr>
          </w:p>
        </w:tc>
      </w:tr>
      <w:tr w:rsidR="00595EB4" w14:paraId="0D9042E5" w14:textId="77777777" w:rsidTr="00595EB4">
        <w:trPr>
          <w:cantSplit/>
        </w:trPr>
        <w:tc>
          <w:tcPr>
            <w:tcW w:w="1609" w:type="dxa"/>
            <w:tcBorders>
              <w:top w:val="single" w:sz="4" w:space="0" w:color="auto"/>
              <w:bottom w:val="single" w:sz="6" w:space="0" w:color="auto"/>
            </w:tcBorders>
            <w:vAlign w:val="center"/>
          </w:tcPr>
          <w:p w14:paraId="71F7EF22" w14:textId="7262FE24" w:rsidR="00595EB4" w:rsidRDefault="00595EB4" w:rsidP="00595EB4">
            <w:pPr>
              <w:spacing w:after="0"/>
              <w:rPr>
                <w:rFonts w:asciiTheme="majorHAnsi" w:hAnsiTheme="majorHAnsi" w:cs="Arial"/>
                <w:b/>
                <w:sz w:val="18"/>
                <w:szCs w:val="18"/>
              </w:rPr>
            </w:pPr>
            <w:r>
              <w:rPr>
                <w:rFonts w:asciiTheme="majorHAnsi" w:hAnsiTheme="majorHAnsi" w:cs="Arial"/>
                <w:b/>
                <w:sz w:val="18"/>
                <w:szCs w:val="18"/>
              </w:rPr>
              <w:t>Total number of training sessions</w:t>
            </w:r>
          </w:p>
        </w:tc>
        <w:tc>
          <w:tcPr>
            <w:tcW w:w="1202" w:type="dxa"/>
            <w:tcBorders>
              <w:top w:val="single" w:sz="4" w:space="0" w:color="auto"/>
              <w:bottom w:val="single" w:sz="6" w:space="0" w:color="auto"/>
            </w:tcBorders>
            <w:vAlign w:val="center"/>
          </w:tcPr>
          <w:p w14:paraId="4F9DE4E2" w14:textId="5ABC98B2" w:rsidR="00595EB4" w:rsidRPr="00595EB4" w:rsidRDefault="00595EB4" w:rsidP="00595EB4">
            <w:pPr>
              <w:spacing w:after="0"/>
              <w:jc w:val="center"/>
              <w:rPr>
                <w:rFonts w:cs="Arial"/>
              </w:rPr>
            </w:pPr>
            <w:r w:rsidRPr="00595EB4">
              <w:rPr>
                <w:rFonts w:cs="Arial"/>
              </w:rPr>
              <w:t>97</w:t>
            </w:r>
          </w:p>
        </w:tc>
        <w:tc>
          <w:tcPr>
            <w:tcW w:w="1030" w:type="dxa"/>
            <w:tcBorders>
              <w:top w:val="single" w:sz="4" w:space="0" w:color="auto"/>
              <w:bottom w:val="single" w:sz="6" w:space="0" w:color="auto"/>
            </w:tcBorders>
            <w:vAlign w:val="center"/>
          </w:tcPr>
          <w:p w14:paraId="7762A3EA" w14:textId="77777777" w:rsidR="00595EB4" w:rsidRPr="00595EB4" w:rsidRDefault="00595EB4" w:rsidP="00595EB4">
            <w:pPr>
              <w:pStyle w:val="Tabletextcentred"/>
              <w:rPr>
                <w:szCs w:val="22"/>
              </w:rPr>
            </w:pPr>
          </w:p>
        </w:tc>
        <w:tc>
          <w:tcPr>
            <w:tcW w:w="1030" w:type="dxa"/>
            <w:tcBorders>
              <w:top w:val="single" w:sz="4" w:space="0" w:color="auto"/>
              <w:bottom w:val="single" w:sz="6" w:space="0" w:color="auto"/>
            </w:tcBorders>
            <w:vAlign w:val="center"/>
          </w:tcPr>
          <w:p w14:paraId="1E3744D7" w14:textId="77777777" w:rsidR="00595EB4" w:rsidRPr="00595EB4" w:rsidRDefault="00595EB4" w:rsidP="00595EB4">
            <w:pPr>
              <w:pStyle w:val="Tabletextcentred"/>
              <w:rPr>
                <w:szCs w:val="22"/>
              </w:rPr>
            </w:pPr>
          </w:p>
        </w:tc>
        <w:tc>
          <w:tcPr>
            <w:tcW w:w="1030" w:type="dxa"/>
            <w:tcBorders>
              <w:top w:val="single" w:sz="4" w:space="0" w:color="auto"/>
              <w:bottom w:val="single" w:sz="6" w:space="0" w:color="auto"/>
            </w:tcBorders>
            <w:vAlign w:val="center"/>
          </w:tcPr>
          <w:p w14:paraId="4958B742" w14:textId="77777777" w:rsidR="00595EB4" w:rsidRPr="00595EB4" w:rsidRDefault="00595EB4" w:rsidP="00595EB4">
            <w:pPr>
              <w:pStyle w:val="Tabletextcentred"/>
              <w:rPr>
                <w:szCs w:val="22"/>
              </w:rPr>
            </w:pPr>
          </w:p>
        </w:tc>
        <w:tc>
          <w:tcPr>
            <w:tcW w:w="1138" w:type="dxa"/>
            <w:tcBorders>
              <w:top w:val="single" w:sz="4" w:space="0" w:color="auto"/>
              <w:bottom w:val="single" w:sz="6" w:space="0" w:color="auto"/>
            </w:tcBorders>
            <w:vAlign w:val="center"/>
          </w:tcPr>
          <w:p w14:paraId="6B7B3FEE" w14:textId="103ADAFB" w:rsidR="00595EB4" w:rsidRPr="00595EB4" w:rsidRDefault="00595EB4" w:rsidP="00595EB4">
            <w:pPr>
              <w:pStyle w:val="Tabletextcentred"/>
              <w:rPr>
                <w:szCs w:val="22"/>
              </w:rPr>
            </w:pPr>
            <w:r w:rsidRPr="00595EB4">
              <w:rPr>
                <w:rFonts w:cs="Arial"/>
                <w:b/>
                <w:szCs w:val="22"/>
              </w:rPr>
              <w:t>97</w:t>
            </w:r>
          </w:p>
        </w:tc>
        <w:tc>
          <w:tcPr>
            <w:tcW w:w="1247" w:type="dxa"/>
            <w:tcBorders>
              <w:top w:val="single" w:sz="4" w:space="0" w:color="auto"/>
              <w:bottom w:val="single" w:sz="6" w:space="0" w:color="auto"/>
            </w:tcBorders>
            <w:vAlign w:val="center"/>
          </w:tcPr>
          <w:p w14:paraId="72508F4F" w14:textId="3CEF7B64" w:rsidR="00595EB4" w:rsidRPr="00595EB4" w:rsidRDefault="00595EB4" w:rsidP="00595EB4">
            <w:pPr>
              <w:pStyle w:val="Tabletextcentred"/>
              <w:rPr>
                <w:szCs w:val="22"/>
              </w:rPr>
            </w:pPr>
            <w:r w:rsidRPr="00595EB4">
              <w:rPr>
                <w:rFonts w:cs="Arial"/>
                <w:b/>
                <w:szCs w:val="22"/>
              </w:rPr>
              <w:t>390</w:t>
            </w:r>
          </w:p>
        </w:tc>
        <w:tc>
          <w:tcPr>
            <w:tcW w:w="1047" w:type="dxa"/>
            <w:tcBorders>
              <w:top w:val="single" w:sz="4" w:space="0" w:color="auto"/>
              <w:bottom w:val="single" w:sz="6" w:space="0" w:color="auto"/>
            </w:tcBorders>
            <w:vAlign w:val="center"/>
          </w:tcPr>
          <w:p w14:paraId="1796C1AA" w14:textId="4A5D8B9C" w:rsidR="00595EB4" w:rsidRPr="00595EB4" w:rsidRDefault="00595EB4" w:rsidP="00595EB4">
            <w:pPr>
              <w:pStyle w:val="Tabletextcentred"/>
              <w:rPr>
                <w:szCs w:val="22"/>
              </w:rPr>
            </w:pPr>
            <w:r w:rsidRPr="00595EB4">
              <w:rPr>
                <w:rFonts w:cs="Arial"/>
                <w:b/>
                <w:szCs w:val="22"/>
              </w:rPr>
              <w:t>25%</w:t>
            </w:r>
          </w:p>
        </w:tc>
      </w:tr>
      <w:tr w:rsidR="00595EB4" w14:paraId="5DED432C" w14:textId="77777777" w:rsidTr="00595EB4">
        <w:trPr>
          <w:cantSplit/>
        </w:trPr>
        <w:tc>
          <w:tcPr>
            <w:tcW w:w="1609" w:type="dxa"/>
            <w:tcBorders>
              <w:top w:val="single" w:sz="4" w:space="0" w:color="auto"/>
              <w:bottom w:val="single" w:sz="6" w:space="0" w:color="auto"/>
            </w:tcBorders>
            <w:vAlign w:val="center"/>
          </w:tcPr>
          <w:p w14:paraId="2CF3938D" w14:textId="7236D5A2" w:rsidR="00595EB4" w:rsidRDefault="00595EB4" w:rsidP="00595EB4">
            <w:pPr>
              <w:spacing w:after="0"/>
              <w:rPr>
                <w:rFonts w:asciiTheme="majorHAnsi" w:hAnsiTheme="majorHAnsi" w:cs="Arial"/>
                <w:b/>
                <w:sz w:val="18"/>
                <w:szCs w:val="18"/>
              </w:rPr>
            </w:pPr>
            <w:r>
              <w:rPr>
                <w:rFonts w:asciiTheme="majorHAnsi" w:hAnsiTheme="majorHAnsi" w:cs="Arial"/>
                <w:b/>
                <w:sz w:val="18"/>
                <w:szCs w:val="18"/>
              </w:rPr>
              <w:t>KPI 2.4: Participants in training sessions x individual</w:t>
            </w:r>
          </w:p>
        </w:tc>
        <w:tc>
          <w:tcPr>
            <w:tcW w:w="1202" w:type="dxa"/>
            <w:tcBorders>
              <w:top w:val="single" w:sz="4" w:space="0" w:color="auto"/>
              <w:bottom w:val="single" w:sz="6" w:space="0" w:color="auto"/>
            </w:tcBorders>
            <w:vAlign w:val="center"/>
          </w:tcPr>
          <w:p w14:paraId="17704F1C" w14:textId="3CAEA236" w:rsidR="00595EB4" w:rsidRPr="00595EB4" w:rsidRDefault="00595EB4" w:rsidP="00595EB4">
            <w:pPr>
              <w:spacing w:after="0"/>
              <w:jc w:val="center"/>
              <w:rPr>
                <w:rFonts w:cs="Arial"/>
              </w:rPr>
            </w:pPr>
            <w:r w:rsidRPr="00595EB4">
              <w:rPr>
                <w:rFonts w:cs="Arial"/>
              </w:rPr>
              <w:t>39</w:t>
            </w:r>
          </w:p>
        </w:tc>
        <w:tc>
          <w:tcPr>
            <w:tcW w:w="1030" w:type="dxa"/>
            <w:tcBorders>
              <w:top w:val="single" w:sz="4" w:space="0" w:color="auto"/>
              <w:bottom w:val="single" w:sz="6" w:space="0" w:color="auto"/>
            </w:tcBorders>
            <w:vAlign w:val="center"/>
          </w:tcPr>
          <w:p w14:paraId="4A979234" w14:textId="77777777" w:rsidR="00595EB4" w:rsidRPr="00595EB4" w:rsidRDefault="00595EB4" w:rsidP="00595EB4">
            <w:pPr>
              <w:pStyle w:val="Tabletextcentred"/>
              <w:rPr>
                <w:szCs w:val="22"/>
              </w:rPr>
            </w:pPr>
          </w:p>
        </w:tc>
        <w:tc>
          <w:tcPr>
            <w:tcW w:w="1030" w:type="dxa"/>
            <w:tcBorders>
              <w:top w:val="single" w:sz="4" w:space="0" w:color="auto"/>
              <w:bottom w:val="single" w:sz="6" w:space="0" w:color="auto"/>
            </w:tcBorders>
            <w:vAlign w:val="center"/>
          </w:tcPr>
          <w:p w14:paraId="33D0B51A" w14:textId="77777777" w:rsidR="00595EB4" w:rsidRPr="00595EB4" w:rsidRDefault="00595EB4" w:rsidP="00595EB4">
            <w:pPr>
              <w:pStyle w:val="Tabletextcentred"/>
              <w:rPr>
                <w:szCs w:val="22"/>
              </w:rPr>
            </w:pPr>
          </w:p>
        </w:tc>
        <w:tc>
          <w:tcPr>
            <w:tcW w:w="1030" w:type="dxa"/>
            <w:tcBorders>
              <w:top w:val="single" w:sz="4" w:space="0" w:color="auto"/>
              <w:bottom w:val="single" w:sz="6" w:space="0" w:color="auto"/>
            </w:tcBorders>
            <w:vAlign w:val="center"/>
          </w:tcPr>
          <w:p w14:paraId="68C0629C" w14:textId="77777777" w:rsidR="00595EB4" w:rsidRPr="00595EB4" w:rsidRDefault="00595EB4" w:rsidP="00595EB4">
            <w:pPr>
              <w:pStyle w:val="Tabletextcentred"/>
              <w:rPr>
                <w:szCs w:val="22"/>
              </w:rPr>
            </w:pPr>
          </w:p>
        </w:tc>
        <w:tc>
          <w:tcPr>
            <w:tcW w:w="1138" w:type="dxa"/>
            <w:tcBorders>
              <w:top w:val="single" w:sz="4" w:space="0" w:color="auto"/>
              <w:bottom w:val="single" w:sz="6" w:space="0" w:color="auto"/>
            </w:tcBorders>
            <w:vAlign w:val="center"/>
          </w:tcPr>
          <w:p w14:paraId="3793F568" w14:textId="1291BCEC" w:rsidR="00595EB4" w:rsidRPr="00595EB4" w:rsidRDefault="00595EB4" w:rsidP="00595EB4">
            <w:pPr>
              <w:pStyle w:val="Tabletextcentred"/>
              <w:rPr>
                <w:rFonts w:cs="Arial"/>
                <w:b/>
                <w:szCs w:val="22"/>
              </w:rPr>
            </w:pPr>
            <w:r w:rsidRPr="00595EB4">
              <w:rPr>
                <w:rFonts w:cs="Arial"/>
                <w:b/>
                <w:szCs w:val="22"/>
              </w:rPr>
              <w:t>39</w:t>
            </w:r>
          </w:p>
        </w:tc>
        <w:tc>
          <w:tcPr>
            <w:tcW w:w="1247" w:type="dxa"/>
            <w:tcBorders>
              <w:top w:val="single" w:sz="4" w:space="0" w:color="auto"/>
              <w:bottom w:val="single" w:sz="6" w:space="0" w:color="auto"/>
            </w:tcBorders>
            <w:vAlign w:val="center"/>
          </w:tcPr>
          <w:p w14:paraId="423A5E7D" w14:textId="7C097243" w:rsidR="00595EB4" w:rsidRPr="00595EB4" w:rsidRDefault="00595EB4" w:rsidP="00595EB4">
            <w:pPr>
              <w:pStyle w:val="Tabletextcentred"/>
              <w:rPr>
                <w:rFonts w:cs="Arial"/>
                <w:b/>
                <w:szCs w:val="22"/>
              </w:rPr>
            </w:pPr>
            <w:r w:rsidRPr="00595EB4">
              <w:rPr>
                <w:rFonts w:cs="Arial"/>
                <w:b/>
                <w:szCs w:val="22"/>
              </w:rPr>
              <w:t>134</w:t>
            </w:r>
          </w:p>
        </w:tc>
        <w:tc>
          <w:tcPr>
            <w:tcW w:w="1047" w:type="dxa"/>
            <w:tcBorders>
              <w:top w:val="single" w:sz="4" w:space="0" w:color="auto"/>
              <w:bottom w:val="single" w:sz="6" w:space="0" w:color="auto"/>
            </w:tcBorders>
            <w:vAlign w:val="center"/>
          </w:tcPr>
          <w:p w14:paraId="5447B4BB" w14:textId="11716DF4" w:rsidR="00595EB4" w:rsidRPr="00595EB4" w:rsidRDefault="00595EB4" w:rsidP="00595EB4">
            <w:pPr>
              <w:pStyle w:val="Tabletextcentred"/>
              <w:rPr>
                <w:rFonts w:cs="Arial"/>
                <w:b/>
                <w:szCs w:val="22"/>
              </w:rPr>
            </w:pPr>
            <w:r w:rsidRPr="00595EB4">
              <w:rPr>
                <w:rFonts w:cs="Arial"/>
                <w:b/>
                <w:szCs w:val="22"/>
              </w:rPr>
              <w:t>29%</w:t>
            </w:r>
          </w:p>
        </w:tc>
      </w:tr>
      <w:tr w:rsidR="00595EB4" w14:paraId="7F75D1BE" w14:textId="77777777" w:rsidTr="00595EB4">
        <w:trPr>
          <w:cantSplit/>
        </w:trPr>
        <w:tc>
          <w:tcPr>
            <w:tcW w:w="1609" w:type="dxa"/>
            <w:tcBorders>
              <w:top w:val="single" w:sz="4" w:space="0" w:color="auto"/>
              <w:bottom w:val="single" w:sz="6" w:space="0" w:color="auto"/>
            </w:tcBorders>
            <w:vAlign w:val="center"/>
          </w:tcPr>
          <w:p w14:paraId="0E4B344B" w14:textId="65FC6300" w:rsidR="00595EB4" w:rsidRDefault="00595EB4" w:rsidP="00595EB4">
            <w:pPr>
              <w:spacing w:after="0"/>
              <w:rPr>
                <w:rFonts w:asciiTheme="majorHAnsi" w:hAnsiTheme="majorHAnsi" w:cs="Arial"/>
                <w:b/>
                <w:sz w:val="18"/>
                <w:szCs w:val="18"/>
              </w:rPr>
            </w:pPr>
            <w:r>
              <w:rPr>
                <w:rFonts w:asciiTheme="majorHAnsi" w:hAnsiTheme="majorHAnsi" w:cs="Arial"/>
                <w:b/>
                <w:sz w:val="18"/>
                <w:szCs w:val="18"/>
              </w:rPr>
              <w:t xml:space="preserve">KPI 3.1: </w:t>
            </w:r>
            <w:r w:rsidRPr="000F768B">
              <w:rPr>
                <w:rFonts w:asciiTheme="majorHAnsi" w:hAnsiTheme="majorHAnsi" w:cs="Arial"/>
                <w:b/>
                <w:sz w:val="18"/>
                <w:szCs w:val="18"/>
              </w:rPr>
              <w:t xml:space="preserve">Number of orgs commencing Relay Service Friendly Program (RSFP) </w:t>
            </w:r>
          </w:p>
        </w:tc>
        <w:tc>
          <w:tcPr>
            <w:tcW w:w="1202" w:type="dxa"/>
            <w:tcBorders>
              <w:top w:val="single" w:sz="4" w:space="0" w:color="auto"/>
              <w:bottom w:val="single" w:sz="6" w:space="0" w:color="auto"/>
            </w:tcBorders>
            <w:vAlign w:val="center"/>
          </w:tcPr>
          <w:p w14:paraId="7621E8A6" w14:textId="1E6EF64E" w:rsidR="00595EB4" w:rsidRPr="00595EB4" w:rsidRDefault="00595EB4" w:rsidP="00595EB4">
            <w:pPr>
              <w:spacing w:after="0"/>
              <w:jc w:val="center"/>
              <w:rPr>
                <w:rFonts w:cs="Arial"/>
              </w:rPr>
            </w:pPr>
            <w:r w:rsidRPr="00595EB4">
              <w:rPr>
                <w:rFonts w:cs="Arial"/>
              </w:rPr>
              <w:t>14</w:t>
            </w:r>
          </w:p>
        </w:tc>
        <w:tc>
          <w:tcPr>
            <w:tcW w:w="1030" w:type="dxa"/>
            <w:tcBorders>
              <w:top w:val="single" w:sz="4" w:space="0" w:color="auto"/>
              <w:bottom w:val="single" w:sz="6" w:space="0" w:color="auto"/>
            </w:tcBorders>
            <w:vAlign w:val="center"/>
          </w:tcPr>
          <w:p w14:paraId="0DE72C7B" w14:textId="77777777" w:rsidR="00595EB4" w:rsidRPr="00595EB4" w:rsidRDefault="00595EB4" w:rsidP="00595EB4">
            <w:pPr>
              <w:pStyle w:val="Tabletextcentred"/>
              <w:rPr>
                <w:szCs w:val="22"/>
              </w:rPr>
            </w:pPr>
          </w:p>
        </w:tc>
        <w:tc>
          <w:tcPr>
            <w:tcW w:w="1030" w:type="dxa"/>
            <w:tcBorders>
              <w:top w:val="single" w:sz="4" w:space="0" w:color="auto"/>
              <w:bottom w:val="single" w:sz="6" w:space="0" w:color="auto"/>
            </w:tcBorders>
            <w:vAlign w:val="center"/>
          </w:tcPr>
          <w:p w14:paraId="78A22E0A" w14:textId="77777777" w:rsidR="00595EB4" w:rsidRPr="00595EB4" w:rsidRDefault="00595EB4" w:rsidP="00595EB4">
            <w:pPr>
              <w:pStyle w:val="Tabletextcentred"/>
              <w:rPr>
                <w:szCs w:val="22"/>
              </w:rPr>
            </w:pPr>
          </w:p>
        </w:tc>
        <w:tc>
          <w:tcPr>
            <w:tcW w:w="1030" w:type="dxa"/>
            <w:tcBorders>
              <w:top w:val="single" w:sz="4" w:space="0" w:color="auto"/>
              <w:bottom w:val="single" w:sz="6" w:space="0" w:color="auto"/>
            </w:tcBorders>
            <w:vAlign w:val="center"/>
          </w:tcPr>
          <w:p w14:paraId="00CD4127" w14:textId="77777777" w:rsidR="00595EB4" w:rsidRPr="00595EB4" w:rsidRDefault="00595EB4" w:rsidP="00595EB4">
            <w:pPr>
              <w:pStyle w:val="Tabletextcentred"/>
              <w:rPr>
                <w:szCs w:val="22"/>
              </w:rPr>
            </w:pPr>
          </w:p>
        </w:tc>
        <w:tc>
          <w:tcPr>
            <w:tcW w:w="1138" w:type="dxa"/>
            <w:tcBorders>
              <w:top w:val="single" w:sz="4" w:space="0" w:color="auto"/>
              <w:bottom w:val="single" w:sz="6" w:space="0" w:color="auto"/>
            </w:tcBorders>
            <w:vAlign w:val="center"/>
          </w:tcPr>
          <w:p w14:paraId="5D493109" w14:textId="21EBD91E" w:rsidR="00595EB4" w:rsidRPr="00595EB4" w:rsidRDefault="00595EB4" w:rsidP="00595EB4">
            <w:pPr>
              <w:pStyle w:val="Tabletextcentred"/>
              <w:rPr>
                <w:rFonts w:cs="Arial"/>
                <w:b/>
                <w:szCs w:val="22"/>
              </w:rPr>
            </w:pPr>
            <w:r w:rsidRPr="00595EB4">
              <w:rPr>
                <w:rFonts w:cs="Arial"/>
                <w:b/>
                <w:szCs w:val="22"/>
              </w:rPr>
              <w:t>14</w:t>
            </w:r>
          </w:p>
        </w:tc>
        <w:tc>
          <w:tcPr>
            <w:tcW w:w="1247" w:type="dxa"/>
            <w:tcBorders>
              <w:top w:val="single" w:sz="4" w:space="0" w:color="auto"/>
              <w:bottom w:val="single" w:sz="6" w:space="0" w:color="auto"/>
            </w:tcBorders>
            <w:vAlign w:val="center"/>
          </w:tcPr>
          <w:p w14:paraId="5BEB0521" w14:textId="6FF51203" w:rsidR="00595EB4" w:rsidRPr="00595EB4" w:rsidRDefault="00595EB4" w:rsidP="00595EB4">
            <w:pPr>
              <w:pStyle w:val="Tabletextcentred"/>
              <w:rPr>
                <w:rFonts w:cs="Arial"/>
                <w:b/>
                <w:szCs w:val="22"/>
              </w:rPr>
            </w:pPr>
            <w:r w:rsidRPr="00595EB4">
              <w:rPr>
                <w:rFonts w:cs="Arial"/>
                <w:b/>
                <w:szCs w:val="22"/>
              </w:rPr>
              <w:t>40</w:t>
            </w:r>
          </w:p>
        </w:tc>
        <w:tc>
          <w:tcPr>
            <w:tcW w:w="1047" w:type="dxa"/>
            <w:tcBorders>
              <w:top w:val="single" w:sz="4" w:space="0" w:color="auto"/>
              <w:bottom w:val="single" w:sz="6" w:space="0" w:color="auto"/>
            </w:tcBorders>
            <w:vAlign w:val="center"/>
          </w:tcPr>
          <w:p w14:paraId="6230A6A4" w14:textId="27C0ED2F" w:rsidR="00595EB4" w:rsidRPr="00595EB4" w:rsidRDefault="00595EB4" w:rsidP="00595EB4">
            <w:pPr>
              <w:pStyle w:val="Tabletextcentred"/>
              <w:rPr>
                <w:rFonts w:cs="Arial"/>
                <w:b/>
                <w:szCs w:val="22"/>
              </w:rPr>
            </w:pPr>
            <w:r w:rsidRPr="00595EB4">
              <w:rPr>
                <w:rFonts w:cs="Arial"/>
                <w:b/>
                <w:szCs w:val="22"/>
              </w:rPr>
              <w:t>35%</w:t>
            </w:r>
          </w:p>
        </w:tc>
      </w:tr>
      <w:tr w:rsidR="00595EB4" w14:paraId="38B38A7C" w14:textId="77777777" w:rsidTr="00595EB4">
        <w:trPr>
          <w:cantSplit/>
        </w:trPr>
        <w:tc>
          <w:tcPr>
            <w:tcW w:w="1609" w:type="dxa"/>
            <w:tcBorders>
              <w:top w:val="single" w:sz="4" w:space="0" w:color="auto"/>
              <w:bottom w:val="single" w:sz="6" w:space="0" w:color="auto"/>
            </w:tcBorders>
            <w:vAlign w:val="center"/>
          </w:tcPr>
          <w:p w14:paraId="05B4195C" w14:textId="5AD48280" w:rsidR="00595EB4" w:rsidRDefault="00595EB4" w:rsidP="00595EB4">
            <w:pPr>
              <w:spacing w:after="0"/>
              <w:rPr>
                <w:rFonts w:asciiTheme="majorHAnsi" w:hAnsiTheme="majorHAnsi" w:cs="Arial"/>
                <w:b/>
                <w:sz w:val="18"/>
                <w:szCs w:val="18"/>
              </w:rPr>
            </w:pPr>
            <w:r>
              <w:rPr>
                <w:rFonts w:asciiTheme="majorHAnsi" w:hAnsiTheme="majorHAnsi" w:cs="Arial"/>
                <w:b/>
                <w:sz w:val="18"/>
                <w:szCs w:val="18"/>
              </w:rPr>
              <w:t xml:space="preserve">KPI 3.2: </w:t>
            </w:r>
            <w:r w:rsidRPr="000F768B">
              <w:rPr>
                <w:rFonts w:asciiTheme="majorHAnsi" w:hAnsiTheme="majorHAnsi" w:cs="Arial"/>
                <w:b/>
                <w:sz w:val="18"/>
                <w:szCs w:val="18"/>
              </w:rPr>
              <w:t xml:space="preserve">Number of orgs completing </w:t>
            </w:r>
            <w:r>
              <w:rPr>
                <w:rFonts w:asciiTheme="majorHAnsi" w:hAnsiTheme="majorHAnsi" w:cs="Arial"/>
                <w:b/>
                <w:sz w:val="18"/>
                <w:szCs w:val="18"/>
              </w:rPr>
              <w:t xml:space="preserve">the training step within </w:t>
            </w:r>
            <w:r w:rsidRPr="000F768B">
              <w:rPr>
                <w:rFonts w:asciiTheme="majorHAnsi" w:hAnsiTheme="majorHAnsi" w:cs="Arial"/>
                <w:b/>
                <w:sz w:val="18"/>
                <w:szCs w:val="18"/>
              </w:rPr>
              <w:t xml:space="preserve">RSFP </w:t>
            </w:r>
          </w:p>
        </w:tc>
        <w:tc>
          <w:tcPr>
            <w:tcW w:w="1202" w:type="dxa"/>
            <w:tcBorders>
              <w:top w:val="single" w:sz="4" w:space="0" w:color="auto"/>
              <w:bottom w:val="single" w:sz="6" w:space="0" w:color="auto"/>
            </w:tcBorders>
            <w:vAlign w:val="center"/>
          </w:tcPr>
          <w:p w14:paraId="693D8E4D" w14:textId="259F3EF8" w:rsidR="00595EB4" w:rsidRPr="00595EB4" w:rsidRDefault="00595EB4" w:rsidP="00595EB4">
            <w:pPr>
              <w:spacing w:after="0"/>
              <w:jc w:val="center"/>
              <w:rPr>
                <w:rFonts w:cs="Arial"/>
              </w:rPr>
            </w:pPr>
            <w:r w:rsidRPr="00595EB4">
              <w:rPr>
                <w:rFonts w:cs="Arial"/>
              </w:rPr>
              <w:t>14</w:t>
            </w:r>
          </w:p>
        </w:tc>
        <w:tc>
          <w:tcPr>
            <w:tcW w:w="1030" w:type="dxa"/>
            <w:tcBorders>
              <w:top w:val="single" w:sz="4" w:space="0" w:color="auto"/>
              <w:bottom w:val="single" w:sz="6" w:space="0" w:color="auto"/>
            </w:tcBorders>
            <w:vAlign w:val="center"/>
          </w:tcPr>
          <w:p w14:paraId="7988FC6E" w14:textId="77777777" w:rsidR="00595EB4" w:rsidRPr="00595EB4" w:rsidRDefault="00595EB4" w:rsidP="00595EB4">
            <w:pPr>
              <w:pStyle w:val="Tabletextcentred"/>
              <w:rPr>
                <w:szCs w:val="22"/>
              </w:rPr>
            </w:pPr>
          </w:p>
        </w:tc>
        <w:tc>
          <w:tcPr>
            <w:tcW w:w="1030" w:type="dxa"/>
            <w:tcBorders>
              <w:top w:val="single" w:sz="4" w:space="0" w:color="auto"/>
              <w:bottom w:val="single" w:sz="6" w:space="0" w:color="auto"/>
            </w:tcBorders>
            <w:vAlign w:val="center"/>
          </w:tcPr>
          <w:p w14:paraId="17490DB6" w14:textId="77777777" w:rsidR="00595EB4" w:rsidRPr="00595EB4" w:rsidRDefault="00595EB4" w:rsidP="00595EB4">
            <w:pPr>
              <w:pStyle w:val="Tabletextcentred"/>
              <w:rPr>
                <w:szCs w:val="22"/>
              </w:rPr>
            </w:pPr>
          </w:p>
        </w:tc>
        <w:tc>
          <w:tcPr>
            <w:tcW w:w="1030" w:type="dxa"/>
            <w:tcBorders>
              <w:top w:val="single" w:sz="4" w:space="0" w:color="auto"/>
              <w:bottom w:val="single" w:sz="6" w:space="0" w:color="auto"/>
            </w:tcBorders>
            <w:vAlign w:val="center"/>
          </w:tcPr>
          <w:p w14:paraId="689FBB6F" w14:textId="77777777" w:rsidR="00595EB4" w:rsidRPr="00595EB4" w:rsidRDefault="00595EB4" w:rsidP="00595EB4">
            <w:pPr>
              <w:pStyle w:val="Tabletextcentred"/>
              <w:rPr>
                <w:szCs w:val="22"/>
              </w:rPr>
            </w:pPr>
          </w:p>
        </w:tc>
        <w:tc>
          <w:tcPr>
            <w:tcW w:w="1138" w:type="dxa"/>
            <w:tcBorders>
              <w:top w:val="single" w:sz="4" w:space="0" w:color="auto"/>
              <w:bottom w:val="single" w:sz="6" w:space="0" w:color="auto"/>
            </w:tcBorders>
            <w:vAlign w:val="center"/>
          </w:tcPr>
          <w:p w14:paraId="52E673A1" w14:textId="693F7B18" w:rsidR="00595EB4" w:rsidRPr="00595EB4" w:rsidRDefault="00595EB4" w:rsidP="00595EB4">
            <w:pPr>
              <w:pStyle w:val="Tabletextcentred"/>
              <w:rPr>
                <w:rFonts w:cs="Arial"/>
                <w:b/>
                <w:szCs w:val="22"/>
              </w:rPr>
            </w:pPr>
            <w:r w:rsidRPr="00595EB4">
              <w:rPr>
                <w:rFonts w:cs="Arial"/>
                <w:b/>
                <w:szCs w:val="22"/>
              </w:rPr>
              <w:t>14</w:t>
            </w:r>
          </w:p>
        </w:tc>
        <w:tc>
          <w:tcPr>
            <w:tcW w:w="1247" w:type="dxa"/>
            <w:tcBorders>
              <w:top w:val="single" w:sz="4" w:space="0" w:color="auto"/>
              <w:bottom w:val="single" w:sz="6" w:space="0" w:color="auto"/>
            </w:tcBorders>
            <w:vAlign w:val="center"/>
          </w:tcPr>
          <w:p w14:paraId="6DEECD50" w14:textId="4362411A" w:rsidR="00595EB4" w:rsidRPr="00595EB4" w:rsidRDefault="00595EB4" w:rsidP="00595EB4">
            <w:pPr>
              <w:pStyle w:val="Tabletextcentred"/>
              <w:rPr>
                <w:rFonts w:cs="Arial"/>
                <w:b/>
                <w:szCs w:val="22"/>
              </w:rPr>
            </w:pPr>
            <w:r w:rsidRPr="00595EB4">
              <w:rPr>
                <w:rFonts w:cs="Arial"/>
                <w:b/>
                <w:szCs w:val="22"/>
              </w:rPr>
              <w:t>30</w:t>
            </w:r>
          </w:p>
        </w:tc>
        <w:tc>
          <w:tcPr>
            <w:tcW w:w="1047" w:type="dxa"/>
            <w:tcBorders>
              <w:top w:val="single" w:sz="4" w:space="0" w:color="auto"/>
              <w:bottom w:val="single" w:sz="6" w:space="0" w:color="auto"/>
            </w:tcBorders>
            <w:vAlign w:val="center"/>
          </w:tcPr>
          <w:p w14:paraId="7D47707E" w14:textId="2B68662D" w:rsidR="00595EB4" w:rsidRPr="00595EB4" w:rsidRDefault="00595EB4" w:rsidP="00595EB4">
            <w:pPr>
              <w:pStyle w:val="Tabletextcentred"/>
              <w:rPr>
                <w:rFonts w:cs="Arial"/>
                <w:b/>
                <w:szCs w:val="22"/>
              </w:rPr>
            </w:pPr>
            <w:r w:rsidRPr="00595EB4">
              <w:rPr>
                <w:rFonts w:cs="Arial"/>
                <w:b/>
                <w:szCs w:val="22"/>
              </w:rPr>
              <w:t>47%</w:t>
            </w:r>
          </w:p>
        </w:tc>
      </w:tr>
      <w:tr w:rsidR="00595EB4" w14:paraId="5DB637BD" w14:textId="77777777" w:rsidTr="00595EB4">
        <w:trPr>
          <w:cantSplit/>
        </w:trPr>
        <w:tc>
          <w:tcPr>
            <w:tcW w:w="1609" w:type="dxa"/>
            <w:tcBorders>
              <w:top w:val="single" w:sz="4" w:space="0" w:color="auto"/>
              <w:bottom w:val="single" w:sz="6" w:space="0" w:color="auto"/>
            </w:tcBorders>
            <w:vAlign w:val="center"/>
          </w:tcPr>
          <w:p w14:paraId="49AFCB7B" w14:textId="32852DCB" w:rsidR="00595EB4" w:rsidRDefault="00595EB4" w:rsidP="00595EB4">
            <w:pPr>
              <w:spacing w:after="0"/>
              <w:rPr>
                <w:rFonts w:asciiTheme="majorHAnsi" w:hAnsiTheme="majorHAnsi" w:cs="Arial"/>
                <w:b/>
                <w:sz w:val="18"/>
                <w:szCs w:val="18"/>
              </w:rPr>
            </w:pPr>
            <w:r>
              <w:rPr>
                <w:rFonts w:asciiTheme="majorHAnsi" w:hAnsiTheme="majorHAnsi" w:cs="Arial"/>
                <w:b/>
                <w:sz w:val="18"/>
                <w:szCs w:val="18"/>
              </w:rPr>
              <w:t xml:space="preserve">KPI 3.3: </w:t>
            </w:r>
            <w:r w:rsidRPr="000F768B">
              <w:rPr>
                <w:rFonts w:asciiTheme="majorHAnsi" w:hAnsiTheme="majorHAnsi" w:cs="Arial"/>
                <w:b/>
                <w:sz w:val="18"/>
                <w:szCs w:val="18"/>
              </w:rPr>
              <w:t xml:space="preserve">Number of orgs completing </w:t>
            </w:r>
            <w:r>
              <w:rPr>
                <w:rFonts w:asciiTheme="majorHAnsi" w:hAnsiTheme="majorHAnsi" w:cs="Arial"/>
                <w:b/>
                <w:sz w:val="18"/>
                <w:szCs w:val="18"/>
              </w:rPr>
              <w:t xml:space="preserve">the </w:t>
            </w:r>
            <w:r w:rsidRPr="000F768B">
              <w:rPr>
                <w:rFonts w:asciiTheme="majorHAnsi" w:hAnsiTheme="majorHAnsi" w:cs="Arial"/>
                <w:b/>
                <w:sz w:val="18"/>
                <w:szCs w:val="18"/>
              </w:rPr>
              <w:t>RSFP</w:t>
            </w:r>
          </w:p>
        </w:tc>
        <w:tc>
          <w:tcPr>
            <w:tcW w:w="1202" w:type="dxa"/>
            <w:tcBorders>
              <w:top w:val="single" w:sz="4" w:space="0" w:color="auto"/>
              <w:bottom w:val="single" w:sz="6" w:space="0" w:color="auto"/>
            </w:tcBorders>
            <w:vAlign w:val="center"/>
          </w:tcPr>
          <w:p w14:paraId="781E0353" w14:textId="3A3AA04F" w:rsidR="00595EB4" w:rsidRPr="00595EB4" w:rsidRDefault="00595EB4" w:rsidP="00595EB4">
            <w:pPr>
              <w:spacing w:after="0"/>
              <w:jc w:val="center"/>
              <w:rPr>
                <w:rFonts w:cs="Arial"/>
              </w:rPr>
            </w:pPr>
            <w:r w:rsidRPr="00595EB4">
              <w:rPr>
                <w:rFonts w:cs="Arial"/>
              </w:rPr>
              <w:t>4</w:t>
            </w:r>
          </w:p>
        </w:tc>
        <w:tc>
          <w:tcPr>
            <w:tcW w:w="1030" w:type="dxa"/>
            <w:tcBorders>
              <w:top w:val="single" w:sz="4" w:space="0" w:color="auto"/>
              <w:bottom w:val="single" w:sz="6" w:space="0" w:color="auto"/>
            </w:tcBorders>
            <w:vAlign w:val="center"/>
          </w:tcPr>
          <w:p w14:paraId="32727898" w14:textId="77777777" w:rsidR="00595EB4" w:rsidRPr="00595EB4" w:rsidRDefault="00595EB4" w:rsidP="00595EB4">
            <w:pPr>
              <w:pStyle w:val="Tabletextcentred"/>
              <w:rPr>
                <w:szCs w:val="22"/>
              </w:rPr>
            </w:pPr>
          </w:p>
        </w:tc>
        <w:tc>
          <w:tcPr>
            <w:tcW w:w="1030" w:type="dxa"/>
            <w:tcBorders>
              <w:top w:val="single" w:sz="4" w:space="0" w:color="auto"/>
              <w:bottom w:val="single" w:sz="6" w:space="0" w:color="auto"/>
            </w:tcBorders>
            <w:vAlign w:val="center"/>
          </w:tcPr>
          <w:p w14:paraId="6C89395B" w14:textId="77777777" w:rsidR="00595EB4" w:rsidRPr="00595EB4" w:rsidRDefault="00595EB4" w:rsidP="00595EB4">
            <w:pPr>
              <w:pStyle w:val="Tabletextcentred"/>
              <w:rPr>
                <w:szCs w:val="22"/>
              </w:rPr>
            </w:pPr>
          </w:p>
        </w:tc>
        <w:tc>
          <w:tcPr>
            <w:tcW w:w="1030" w:type="dxa"/>
            <w:tcBorders>
              <w:top w:val="single" w:sz="4" w:space="0" w:color="auto"/>
              <w:bottom w:val="single" w:sz="6" w:space="0" w:color="auto"/>
            </w:tcBorders>
            <w:vAlign w:val="center"/>
          </w:tcPr>
          <w:p w14:paraId="676A459A" w14:textId="77777777" w:rsidR="00595EB4" w:rsidRPr="00595EB4" w:rsidRDefault="00595EB4" w:rsidP="00595EB4">
            <w:pPr>
              <w:pStyle w:val="Tabletextcentred"/>
              <w:rPr>
                <w:szCs w:val="22"/>
              </w:rPr>
            </w:pPr>
          </w:p>
        </w:tc>
        <w:tc>
          <w:tcPr>
            <w:tcW w:w="1138" w:type="dxa"/>
            <w:tcBorders>
              <w:top w:val="single" w:sz="4" w:space="0" w:color="auto"/>
              <w:bottom w:val="single" w:sz="6" w:space="0" w:color="auto"/>
            </w:tcBorders>
            <w:vAlign w:val="center"/>
          </w:tcPr>
          <w:p w14:paraId="72FD145C" w14:textId="7624CF30" w:rsidR="00595EB4" w:rsidRPr="00595EB4" w:rsidRDefault="00595EB4" w:rsidP="00595EB4">
            <w:pPr>
              <w:pStyle w:val="Tabletextcentred"/>
              <w:rPr>
                <w:rFonts w:cs="Arial"/>
                <w:b/>
                <w:szCs w:val="22"/>
              </w:rPr>
            </w:pPr>
            <w:r w:rsidRPr="00595EB4">
              <w:rPr>
                <w:rFonts w:cs="Arial"/>
                <w:b/>
                <w:szCs w:val="22"/>
              </w:rPr>
              <w:t>4</w:t>
            </w:r>
          </w:p>
        </w:tc>
        <w:tc>
          <w:tcPr>
            <w:tcW w:w="1247" w:type="dxa"/>
            <w:tcBorders>
              <w:top w:val="single" w:sz="4" w:space="0" w:color="auto"/>
              <w:bottom w:val="single" w:sz="6" w:space="0" w:color="auto"/>
            </w:tcBorders>
            <w:vAlign w:val="center"/>
          </w:tcPr>
          <w:p w14:paraId="72031171" w14:textId="7D2D5221" w:rsidR="00595EB4" w:rsidRPr="00595EB4" w:rsidRDefault="00595EB4" w:rsidP="00595EB4">
            <w:pPr>
              <w:pStyle w:val="Tabletextcentred"/>
              <w:rPr>
                <w:rFonts w:cs="Arial"/>
                <w:b/>
                <w:szCs w:val="22"/>
              </w:rPr>
            </w:pPr>
            <w:r w:rsidRPr="00595EB4">
              <w:rPr>
                <w:rFonts w:cs="Arial"/>
                <w:b/>
                <w:szCs w:val="22"/>
              </w:rPr>
              <w:t>15</w:t>
            </w:r>
          </w:p>
        </w:tc>
        <w:tc>
          <w:tcPr>
            <w:tcW w:w="1047" w:type="dxa"/>
            <w:tcBorders>
              <w:top w:val="single" w:sz="4" w:space="0" w:color="auto"/>
              <w:bottom w:val="single" w:sz="6" w:space="0" w:color="auto"/>
            </w:tcBorders>
            <w:vAlign w:val="center"/>
          </w:tcPr>
          <w:p w14:paraId="7AC11E59" w14:textId="4EB4B931" w:rsidR="00595EB4" w:rsidRPr="00595EB4" w:rsidRDefault="00595EB4" w:rsidP="00595EB4">
            <w:pPr>
              <w:pStyle w:val="Tabletextcentred"/>
              <w:rPr>
                <w:rFonts w:cs="Arial"/>
                <w:b/>
                <w:szCs w:val="22"/>
              </w:rPr>
            </w:pPr>
            <w:r w:rsidRPr="00595EB4">
              <w:rPr>
                <w:rFonts w:cs="Arial"/>
                <w:b/>
                <w:szCs w:val="22"/>
              </w:rPr>
              <w:t>27%</w:t>
            </w:r>
          </w:p>
        </w:tc>
      </w:tr>
      <w:tr w:rsidR="00595EB4" w14:paraId="75FC700F" w14:textId="77777777" w:rsidTr="00595EB4">
        <w:trPr>
          <w:cantSplit/>
        </w:trPr>
        <w:tc>
          <w:tcPr>
            <w:tcW w:w="1609" w:type="dxa"/>
            <w:tcBorders>
              <w:top w:val="single" w:sz="4" w:space="0" w:color="auto"/>
              <w:bottom w:val="single" w:sz="6" w:space="0" w:color="auto"/>
            </w:tcBorders>
            <w:vAlign w:val="center"/>
          </w:tcPr>
          <w:p w14:paraId="0DFB4363" w14:textId="7063EF46" w:rsidR="00595EB4" w:rsidRDefault="00595EB4" w:rsidP="00595EB4">
            <w:pPr>
              <w:spacing w:after="0"/>
              <w:rPr>
                <w:rFonts w:asciiTheme="majorHAnsi" w:hAnsiTheme="majorHAnsi" w:cs="Arial"/>
                <w:b/>
                <w:sz w:val="18"/>
                <w:szCs w:val="18"/>
              </w:rPr>
            </w:pPr>
            <w:r>
              <w:rPr>
                <w:rFonts w:asciiTheme="majorHAnsi" w:hAnsiTheme="majorHAnsi" w:cs="Arial"/>
                <w:b/>
                <w:sz w:val="18"/>
                <w:szCs w:val="18"/>
              </w:rPr>
              <w:t xml:space="preserve">KPI 3.4: </w:t>
            </w:r>
            <w:r w:rsidRPr="000F768B">
              <w:rPr>
                <w:rFonts w:asciiTheme="majorHAnsi" w:hAnsiTheme="majorHAnsi" w:cs="Arial"/>
                <w:b/>
                <w:sz w:val="18"/>
                <w:szCs w:val="18"/>
              </w:rPr>
              <w:t>Number of contact centres involved in Hearing Awareness Week (HAW) 201</w:t>
            </w:r>
            <w:r>
              <w:rPr>
                <w:rFonts w:asciiTheme="majorHAnsi" w:hAnsiTheme="majorHAnsi" w:cs="Arial"/>
                <w:b/>
                <w:sz w:val="18"/>
                <w:szCs w:val="18"/>
              </w:rPr>
              <w:t>6</w:t>
            </w:r>
            <w:r w:rsidRPr="000F768B">
              <w:rPr>
                <w:rFonts w:asciiTheme="majorHAnsi" w:hAnsiTheme="majorHAnsi" w:cs="Arial"/>
                <w:b/>
                <w:sz w:val="18"/>
                <w:szCs w:val="18"/>
              </w:rPr>
              <w:t xml:space="preserve"> </w:t>
            </w:r>
          </w:p>
        </w:tc>
        <w:tc>
          <w:tcPr>
            <w:tcW w:w="1202" w:type="dxa"/>
            <w:tcBorders>
              <w:top w:val="single" w:sz="4" w:space="0" w:color="auto"/>
              <w:bottom w:val="single" w:sz="6" w:space="0" w:color="auto"/>
            </w:tcBorders>
            <w:vAlign w:val="center"/>
          </w:tcPr>
          <w:p w14:paraId="7B54E229" w14:textId="44DF4C23" w:rsidR="00595EB4" w:rsidRPr="00595EB4" w:rsidRDefault="00595EB4" w:rsidP="00595EB4">
            <w:pPr>
              <w:spacing w:after="0"/>
              <w:jc w:val="center"/>
              <w:rPr>
                <w:rFonts w:cs="Arial"/>
              </w:rPr>
            </w:pPr>
            <w:r w:rsidRPr="00595EB4">
              <w:rPr>
                <w:rFonts w:cs="Arial"/>
              </w:rPr>
              <w:t>318</w:t>
            </w:r>
          </w:p>
        </w:tc>
        <w:tc>
          <w:tcPr>
            <w:tcW w:w="1030" w:type="dxa"/>
            <w:tcBorders>
              <w:top w:val="single" w:sz="4" w:space="0" w:color="auto"/>
              <w:bottom w:val="single" w:sz="6" w:space="0" w:color="auto"/>
            </w:tcBorders>
            <w:vAlign w:val="center"/>
          </w:tcPr>
          <w:p w14:paraId="02753DC1" w14:textId="4578B05C" w:rsidR="00595EB4" w:rsidRPr="00595EB4" w:rsidRDefault="00595EB4" w:rsidP="00595EB4">
            <w:pPr>
              <w:pStyle w:val="Tabletextcentred"/>
              <w:rPr>
                <w:szCs w:val="22"/>
              </w:rPr>
            </w:pPr>
            <w:r w:rsidRPr="00595EB4">
              <w:rPr>
                <w:rFonts w:cs="Arial"/>
                <w:szCs w:val="22"/>
              </w:rPr>
              <w:t>N/A</w:t>
            </w:r>
          </w:p>
        </w:tc>
        <w:tc>
          <w:tcPr>
            <w:tcW w:w="1030" w:type="dxa"/>
            <w:tcBorders>
              <w:top w:val="single" w:sz="4" w:space="0" w:color="auto"/>
              <w:bottom w:val="single" w:sz="6" w:space="0" w:color="auto"/>
            </w:tcBorders>
            <w:vAlign w:val="center"/>
          </w:tcPr>
          <w:p w14:paraId="66CEB628" w14:textId="42128480" w:rsidR="00595EB4" w:rsidRPr="00595EB4" w:rsidRDefault="00595EB4" w:rsidP="00595EB4">
            <w:pPr>
              <w:pStyle w:val="Tabletextcentred"/>
              <w:rPr>
                <w:szCs w:val="22"/>
              </w:rPr>
            </w:pPr>
            <w:r w:rsidRPr="00595EB4">
              <w:rPr>
                <w:rFonts w:cs="Arial"/>
                <w:szCs w:val="22"/>
              </w:rPr>
              <w:t>N/A</w:t>
            </w:r>
          </w:p>
        </w:tc>
        <w:tc>
          <w:tcPr>
            <w:tcW w:w="1030" w:type="dxa"/>
            <w:tcBorders>
              <w:top w:val="single" w:sz="4" w:space="0" w:color="auto"/>
              <w:bottom w:val="single" w:sz="6" w:space="0" w:color="auto"/>
            </w:tcBorders>
            <w:vAlign w:val="center"/>
          </w:tcPr>
          <w:p w14:paraId="232EFA59" w14:textId="5B71FC7D" w:rsidR="00595EB4" w:rsidRPr="00595EB4" w:rsidRDefault="00595EB4" w:rsidP="00595EB4">
            <w:pPr>
              <w:pStyle w:val="Tabletextcentred"/>
              <w:rPr>
                <w:szCs w:val="22"/>
              </w:rPr>
            </w:pPr>
            <w:r w:rsidRPr="00595EB4">
              <w:rPr>
                <w:rFonts w:cs="Arial"/>
                <w:szCs w:val="22"/>
              </w:rPr>
              <w:t>N/A</w:t>
            </w:r>
          </w:p>
        </w:tc>
        <w:tc>
          <w:tcPr>
            <w:tcW w:w="1138" w:type="dxa"/>
            <w:tcBorders>
              <w:top w:val="single" w:sz="4" w:space="0" w:color="auto"/>
              <w:bottom w:val="single" w:sz="6" w:space="0" w:color="auto"/>
            </w:tcBorders>
            <w:vAlign w:val="center"/>
          </w:tcPr>
          <w:p w14:paraId="5C46DC55" w14:textId="3EF02705" w:rsidR="00595EB4" w:rsidRPr="00595EB4" w:rsidRDefault="00595EB4" w:rsidP="00595EB4">
            <w:pPr>
              <w:pStyle w:val="Tabletextcentred"/>
              <w:rPr>
                <w:rFonts w:cs="Arial"/>
                <w:b/>
                <w:szCs w:val="22"/>
              </w:rPr>
            </w:pPr>
            <w:r w:rsidRPr="00595EB4">
              <w:rPr>
                <w:rFonts w:cs="Arial"/>
                <w:b/>
                <w:szCs w:val="22"/>
              </w:rPr>
              <w:t>318</w:t>
            </w:r>
          </w:p>
        </w:tc>
        <w:tc>
          <w:tcPr>
            <w:tcW w:w="1247" w:type="dxa"/>
            <w:tcBorders>
              <w:top w:val="single" w:sz="4" w:space="0" w:color="auto"/>
              <w:bottom w:val="single" w:sz="6" w:space="0" w:color="auto"/>
            </w:tcBorders>
            <w:vAlign w:val="center"/>
          </w:tcPr>
          <w:p w14:paraId="257F84F8" w14:textId="1E15BBF7" w:rsidR="00595EB4" w:rsidRPr="00595EB4" w:rsidRDefault="00595EB4" w:rsidP="00595EB4">
            <w:pPr>
              <w:pStyle w:val="Tabletextcentred"/>
              <w:rPr>
                <w:rFonts w:cs="Arial"/>
                <w:b/>
                <w:szCs w:val="22"/>
              </w:rPr>
            </w:pPr>
            <w:r w:rsidRPr="00595EB4">
              <w:rPr>
                <w:rFonts w:cs="Arial"/>
                <w:b/>
                <w:szCs w:val="22"/>
              </w:rPr>
              <w:t>250</w:t>
            </w:r>
          </w:p>
        </w:tc>
        <w:tc>
          <w:tcPr>
            <w:tcW w:w="1047" w:type="dxa"/>
            <w:tcBorders>
              <w:top w:val="single" w:sz="4" w:space="0" w:color="auto"/>
              <w:bottom w:val="single" w:sz="6" w:space="0" w:color="auto"/>
            </w:tcBorders>
            <w:vAlign w:val="center"/>
          </w:tcPr>
          <w:p w14:paraId="281CDAA3" w14:textId="42D8C1B4" w:rsidR="00595EB4" w:rsidRPr="00595EB4" w:rsidRDefault="00595EB4" w:rsidP="00595EB4">
            <w:pPr>
              <w:pStyle w:val="Tabletextcentred"/>
              <w:rPr>
                <w:rFonts w:cs="Arial"/>
                <w:b/>
                <w:szCs w:val="22"/>
              </w:rPr>
            </w:pPr>
            <w:r w:rsidRPr="00595EB4">
              <w:rPr>
                <w:rFonts w:cs="Arial"/>
                <w:b/>
                <w:szCs w:val="22"/>
              </w:rPr>
              <w:t>127%</w:t>
            </w:r>
          </w:p>
        </w:tc>
      </w:tr>
      <w:tr w:rsidR="00595EB4" w14:paraId="64FB0B34" w14:textId="77777777" w:rsidTr="00595EB4">
        <w:trPr>
          <w:cantSplit/>
        </w:trPr>
        <w:tc>
          <w:tcPr>
            <w:tcW w:w="1609" w:type="dxa"/>
            <w:tcBorders>
              <w:top w:val="single" w:sz="4" w:space="0" w:color="auto"/>
              <w:bottom w:val="single" w:sz="6" w:space="0" w:color="auto"/>
            </w:tcBorders>
            <w:vAlign w:val="center"/>
          </w:tcPr>
          <w:p w14:paraId="75B81707" w14:textId="0DE9BE42" w:rsidR="00595EB4" w:rsidRDefault="00595EB4" w:rsidP="00595EB4">
            <w:pPr>
              <w:spacing w:after="0"/>
              <w:rPr>
                <w:rFonts w:asciiTheme="majorHAnsi" w:hAnsiTheme="majorHAnsi" w:cs="Arial"/>
                <w:b/>
                <w:sz w:val="18"/>
                <w:szCs w:val="18"/>
              </w:rPr>
            </w:pPr>
            <w:r>
              <w:rPr>
                <w:rFonts w:asciiTheme="majorHAnsi" w:hAnsiTheme="majorHAnsi" w:cs="Arial"/>
                <w:b/>
                <w:sz w:val="18"/>
                <w:szCs w:val="18"/>
              </w:rPr>
              <w:t xml:space="preserve">KPI 3.5: </w:t>
            </w:r>
            <w:r w:rsidRPr="000F768B">
              <w:rPr>
                <w:rFonts w:asciiTheme="majorHAnsi" w:hAnsiTheme="majorHAnsi" w:cs="Arial"/>
                <w:b/>
                <w:sz w:val="18"/>
                <w:szCs w:val="18"/>
              </w:rPr>
              <w:t>Number of contact ce</w:t>
            </w:r>
            <w:r>
              <w:rPr>
                <w:rFonts w:asciiTheme="majorHAnsi" w:hAnsiTheme="majorHAnsi" w:cs="Arial"/>
                <w:b/>
                <w:sz w:val="18"/>
                <w:szCs w:val="18"/>
              </w:rPr>
              <w:t>ntre agents involved in HAW 2016</w:t>
            </w:r>
            <w:r w:rsidRPr="000F768B">
              <w:rPr>
                <w:rFonts w:asciiTheme="majorHAnsi" w:hAnsiTheme="majorHAnsi" w:cs="Arial"/>
                <w:b/>
                <w:sz w:val="18"/>
                <w:szCs w:val="18"/>
              </w:rPr>
              <w:t xml:space="preserve"> </w:t>
            </w:r>
          </w:p>
        </w:tc>
        <w:tc>
          <w:tcPr>
            <w:tcW w:w="1202" w:type="dxa"/>
            <w:tcBorders>
              <w:top w:val="single" w:sz="4" w:space="0" w:color="auto"/>
              <w:bottom w:val="single" w:sz="6" w:space="0" w:color="auto"/>
            </w:tcBorders>
            <w:vAlign w:val="center"/>
          </w:tcPr>
          <w:p w14:paraId="32585ED4" w14:textId="5B34A0D3" w:rsidR="00595EB4" w:rsidRPr="00595EB4" w:rsidRDefault="00595EB4" w:rsidP="00595EB4">
            <w:pPr>
              <w:spacing w:after="0"/>
              <w:jc w:val="center"/>
              <w:rPr>
                <w:rFonts w:cs="Arial"/>
              </w:rPr>
            </w:pPr>
            <w:r w:rsidRPr="00595EB4">
              <w:rPr>
                <w:rFonts w:cs="Arial"/>
              </w:rPr>
              <w:t>54,454</w:t>
            </w:r>
          </w:p>
        </w:tc>
        <w:tc>
          <w:tcPr>
            <w:tcW w:w="1030" w:type="dxa"/>
            <w:tcBorders>
              <w:top w:val="single" w:sz="4" w:space="0" w:color="auto"/>
              <w:bottom w:val="single" w:sz="6" w:space="0" w:color="auto"/>
            </w:tcBorders>
            <w:vAlign w:val="center"/>
          </w:tcPr>
          <w:p w14:paraId="033ACB74" w14:textId="0D0A96FF" w:rsidR="00595EB4" w:rsidRPr="00595EB4" w:rsidRDefault="00595EB4" w:rsidP="00595EB4">
            <w:pPr>
              <w:pStyle w:val="Tabletextcentred"/>
              <w:rPr>
                <w:rFonts w:cs="Arial"/>
                <w:szCs w:val="22"/>
              </w:rPr>
            </w:pPr>
            <w:r w:rsidRPr="00595EB4">
              <w:rPr>
                <w:rFonts w:cs="Arial"/>
                <w:szCs w:val="22"/>
              </w:rPr>
              <w:t>N/A</w:t>
            </w:r>
          </w:p>
        </w:tc>
        <w:tc>
          <w:tcPr>
            <w:tcW w:w="1030" w:type="dxa"/>
            <w:tcBorders>
              <w:top w:val="single" w:sz="4" w:space="0" w:color="auto"/>
              <w:bottom w:val="single" w:sz="6" w:space="0" w:color="auto"/>
            </w:tcBorders>
            <w:vAlign w:val="center"/>
          </w:tcPr>
          <w:p w14:paraId="019BCBDB" w14:textId="6A4F6E08" w:rsidR="00595EB4" w:rsidRPr="00595EB4" w:rsidRDefault="00595EB4" w:rsidP="00595EB4">
            <w:pPr>
              <w:pStyle w:val="Tabletextcentred"/>
              <w:rPr>
                <w:rFonts w:cs="Arial"/>
                <w:szCs w:val="22"/>
              </w:rPr>
            </w:pPr>
            <w:r w:rsidRPr="00595EB4">
              <w:rPr>
                <w:rFonts w:cs="Arial"/>
                <w:szCs w:val="22"/>
              </w:rPr>
              <w:t>N/A</w:t>
            </w:r>
          </w:p>
        </w:tc>
        <w:tc>
          <w:tcPr>
            <w:tcW w:w="1030" w:type="dxa"/>
            <w:tcBorders>
              <w:top w:val="single" w:sz="4" w:space="0" w:color="auto"/>
              <w:bottom w:val="single" w:sz="6" w:space="0" w:color="auto"/>
            </w:tcBorders>
            <w:vAlign w:val="center"/>
          </w:tcPr>
          <w:p w14:paraId="50E83234" w14:textId="043D07FF" w:rsidR="00595EB4" w:rsidRPr="00595EB4" w:rsidRDefault="00595EB4" w:rsidP="00595EB4">
            <w:pPr>
              <w:pStyle w:val="Tabletextcentred"/>
              <w:rPr>
                <w:rFonts w:cs="Arial"/>
                <w:szCs w:val="22"/>
              </w:rPr>
            </w:pPr>
            <w:r w:rsidRPr="00595EB4">
              <w:rPr>
                <w:rFonts w:cs="Arial"/>
                <w:szCs w:val="22"/>
              </w:rPr>
              <w:t>N/A</w:t>
            </w:r>
          </w:p>
        </w:tc>
        <w:tc>
          <w:tcPr>
            <w:tcW w:w="1138" w:type="dxa"/>
            <w:tcBorders>
              <w:top w:val="single" w:sz="4" w:space="0" w:color="auto"/>
              <w:bottom w:val="single" w:sz="6" w:space="0" w:color="auto"/>
            </w:tcBorders>
            <w:vAlign w:val="center"/>
          </w:tcPr>
          <w:p w14:paraId="76DAD4B7" w14:textId="34686202" w:rsidR="00595EB4" w:rsidRPr="00595EB4" w:rsidRDefault="00595EB4" w:rsidP="00595EB4">
            <w:pPr>
              <w:pStyle w:val="Tabletextcentred"/>
              <w:rPr>
                <w:rFonts w:cs="Arial"/>
                <w:b/>
                <w:szCs w:val="22"/>
              </w:rPr>
            </w:pPr>
            <w:r w:rsidRPr="00595EB4">
              <w:rPr>
                <w:rFonts w:cs="Arial"/>
                <w:b/>
                <w:szCs w:val="22"/>
              </w:rPr>
              <w:t>54,454</w:t>
            </w:r>
          </w:p>
        </w:tc>
        <w:tc>
          <w:tcPr>
            <w:tcW w:w="1247" w:type="dxa"/>
            <w:tcBorders>
              <w:top w:val="single" w:sz="4" w:space="0" w:color="auto"/>
              <w:bottom w:val="single" w:sz="6" w:space="0" w:color="auto"/>
            </w:tcBorders>
            <w:vAlign w:val="center"/>
          </w:tcPr>
          <w:p w14:paraId="441F69CA" w14:textId="2384AC30" w:rsidR="00595EB4" w:rsidRPr="00595EB4" w:rsidRDefault="00595EB4" w:rsidP="00595EB4">
            <w:pPr>
              <w:pStyle w:val="Tabletextcentred"/>
              <w:rPr>
                <w:rFonts w:cs="Arial"/>
                <w:b/>
                <w:szCs w:val="22"/>
              </w:rPr>
            </w:pPr>
            <w:r w:rsidRPr="00595EB4">
              <w:rPr>
                <w:rFonts w:cs="Arial"/>
                <w:b/>
                <w:szCs w:val="22"/>
              </w:rPr>
              <w:t>30,000</w:t>
            </w:r>
          </w:p>
        </w:tc>
        <w:tc>
          <w:tcPr>
            <w:tcW w:w="1047" w:type="dxa"/>
            <w:tcBorders>
              <w:top w:val="single" w:sz="4" w:space="0" w:color="auto"/>
              <w:bottom w:val="single" w:sz="6" w:space="0" w:color="auto"/>
            </w:tcBorders>
            <w:vAlign w:val="center"/>
          </w:tcPr>
          <w:p w14:paraId="042A4739" w14:textId="33CE6F86" w:rsidR="00595EB4" w:rsidRPr="00595EB4" w:rsidRDefault="00595EB4" w:rsidP="00595EB4">
            <w:pPr>
              <w:pStyle w:val="Tabletextcentred"/>
              <w:rPr>
                <w:rFonts w:cs="Arial"/>
                <w:b/>
                <w:szCs w:val="22"/>
              </w:rPr>
            </w:pPr>
            <w:r w:rsidRPr="00595EB4">
              <w:rPr>
                <w:rFonts w:cs="Arial"/>
                <w:b/>
                <w:szCs w:val="22"/>
              </w:rPr>
              <w:t>182%</w:t>
            </w:r>
          </w:p>
        </w:tc>
      </w:tr>
    </w:tbl>
    <w:p w14:paraId="31F00602" w14:textId="77777777" w:rsidR="00774F8D" w:rsidRDefault="00774F8D" w:rsidP="00774F8D">
      <w:pPr>
        <w:spacing w:after="0"/>
      </w:pPr>
    </w:p>
    <w:p w14:paraId="4EA347F3" w14:textId="09E935BB" w:rsidR="00513D65" w:rsidRDefault="00513D65" w:rsidP="009221A3">
      <w:r>
        <w:t xml:space="preserve">Participation in Hearing Awareness </w:t>
      </w:r>
      <w:r w:rsidR="00415AEC">
        <w:t>W</w:t>
      </w:r>
      <w:r>
        <w:t xml:space="preserve">eek was a major outreach project in quarter 1, </w:t>
      </w:r>
      <w:r w:rsidR="009221A3">
        <w:t>2016–17</w:t>
      </w:r>
      <w:r>
        <w:t>.</w:t>
      </w:r>
      <w:r w:rsidR="009221A3">
        <w:t xml:space="preserve"> </w:t>
      </w:r>
      <w:r>
        <w:t>The number of contact centres and contact centre staff participating in NRS outreach activities exceeded the targets established.</w:t>
      </w:r>
    </w:p>
    <w:p w14:paraId="03D823C5" w14:textId="05DD8254" w:rsidR="0062352E" w:rsidRDefault="00513D65" w:rsidP="009221A3">
      <w:r>
        <w:t>The number of reported participants in individual training sessions represents current or potential users of the NRS.</w:t>
      </w:r>
      <w:r w:rsidR="009221A3">
        <w:t xml:space="preserve"> </w:t>
      </w:r>
      <w:r>
        <w:t>There may be some sessions with particular individua</w:t>
      </w:r>
      <w:r w:rsidR="00E9625C">
        <w:t>ls with an outcome that they will not use the NRS because of personal circumstances or because they are a party who might support a NRS user.</w:t>
      </w:r>
    </w:p>
    <w:p w14:paraId="72851180" w14:textId="78EB435A" w:rsidR="005B5C58" w:rsidRPr="007833EA" w:rsidRDefault="005B5C58" w:rsidP="00333144">
      <w:pPr>
        <w:pStyle w:val="Heading2"/>
      </w:pPr>
      <w:r w:rsidRPr="007833EA">
        <w:t xml:space="preserve">Successful </w:t>
      </w:r>
      <w:r w:rsidR="00586433">
        <w:t xml:space="preserve">inbound </w:t>
      </w:r>
      <w:r w:rsidRPr="007833EA">
        <w:t>connections (by inbound service</w:t>
      </w:r>
      <w:r w:rsidR="00586433">
        <w:t xml:space="preserve"> access</w:t>
      </w:r>
      <w:r w:rsidRPr="007833EA">
        <w:t xml:space="preserve"> type)</w:t>
      </w:r>
    </w:p>
    <w:p w14:paraId="27744812" w14:textId="09955274" w:rsidR="00A35060" w:rsidRPr="000C5347" w:rsidRDefault="00A35060" w:rsidP="009221A3">
      <w:r w:rsidRPr="000C5347">
        <w:t xml:space="preserve">Inbound connections are made </w:t>
      </w:r>
      <w:r w:rsidR="009221A3">
        <w:t>by users of the relay service—</w:t>
      </w:r>
      <w:r w:rsidRPr="000C5347">
        <w:t>either someone with a hearing and/or speech impairment or someone wishing to contact a person with such an impairment.</w:t>
      </w:r>
    </w:p>
    <w:p w14:paraId="32FD9F53" w14:textId="3C1AF164" w:rsidR="00A35060" w:rsidRPr="000C5347" w:rsidRDefault="00A35060" w:rsidP="009221A3">
      <w:r w:rsidRPr="000C5347">
        <w:t xml:space="preserve">The graph below shows a breakdown of the successful call connections for each NRS inbound service </w:t>
      </w:r>
      <w:r w:rsidR="00586433">
        <w:t xml:space="preserve">access </w:t>
      </w:r>
      <w:r w:rsidRPr="000C5347">
        <w:t xml:space="preserve">type in Quarter 1, </w:t>
      </w:r>
      <w:r w:rsidR="009221A3">
        <w:t>2016–17</w:t>
      </w:r>
      <w:r w:rsidRPr="000C5347">
        <w:t>:</w:t>
      </w:r>
    </w:p>
    <w:p w14:paraId="72851183" w14:textId="3F76B494" w:rsidR="005B5C58" w:rsidRDefault="00D665DB" w:rsidP="009221A3">
      <w:pPr>
        <w:rPr>
          <w:rFonts w:asciiTheme="majorHAnsi" w:hAnsiTheme="majorHAnsi" w:cs="Arial"/>
          <w:sz w:val="24"/>
          <w:szCs w:val="27"/>
        </w:rPr>
      </w:pPr>
      <w:r>
        <w:rPr>
          <w:rFonts w:asciiTheme="majorHAnsi" w:hAnsiTheme="majorHAnsi" w:cs="Arial"/>
          <w:noProof/>
          <w:sz w:val="24"/>
          <w:szCs w:val="27"/>
          <w:lang w:eastAsia="zh-TW" w:bidi="hi-IN"/>
        </w:rPr>
        <w:drawing>
          <wp:inline distT="0" distB="0" distL="0" distR="0" wp14:anchorId="5900B82F" wp14:editId="6FD352B1">
            <wp:extent cx="5924550" cy="3952875"/>
            <wp:effectExtent l="0" t="0" r="0" b="9525"/>
            <wp:docPr id="5" name="Picture 5" descr="Successful Inbound Connections (by service type)&#10;&#10;This graph shows a month-on-month breakdown of successful inbound calls for each NRS service access option in quarter 1.&#10;  &#10;The service acess options are listed along the Y axis and the number of successful inbound connections is listed along the X axis. Colour coding has been used to breakdown the amount of succesful inbound calls for each month.&#10;&#10;The results are as follows:&#10;&#10;Captioned relay (web browser) 3,527 in July 2016, 1,757 in August 2016 and 676 in September 2016 making a total of 5960 successful inbound calls in quarter 1.&#10;&#10;Captioned relay (handset)&#10;54,605 in July 2016, 61,063 in August 2016 and 58,097 in September 2016 making a total of 173,765 successful inbound calls in quarter 1.&#10;&#10;SMS relay (voice)&#10;67 in July 2016, 76 in August 2016 and 68 in September 2016 making a total of 211 successful inbound calls in quarter 1.&#10;&#10;SMS relay&#10;3,335 in July 2016, 3794 in August 2016 and 3,393 in September 2016 making a total of 10,522 successful inbound calls in quarter 1.&#10;&#10;Video relay (voice)&#10;1 in July 2016, 2 in August 2016 and 2 in September 2016 making a total of 5 successful inbound calls in quarter 1.&#10;&#10;Video relay&#10;2,418 in July 2016, 2732 in August 2016 and 2,339 in September 2016 making a total of 7,489 successful inbound calls in quarter 1.&#10;&#10;106 Emergency Service&#10;7 in July 2016, 9 in August 2016 and 7 in September 2016 making a total of 23 successful inbound calls in quarter 1.&#10;&#10;Internet relay (app)&#10;4,711 in July 2016, 4,891 in August 2016 and 5,065 in September 2016 making a total of 14,667 successful inbound calls in quarter 1.&#10;&#10;Internet relay (voice)&#10;1 in July 2016, 5 in August 2016 and 3 in September 2016 making a total of 9 successful inbound calls in quarter 1.&#10;&#10;Internet relay&#10;11,834 in July 2016, 13,255 in August 2016 and 11,749 in September 2016 making a total of 36,808 successful inbound calls in quarter 1.&#10;&#10;Speak and Listen (app)&#10;117 in July 2016, 98 in August 2016 and 76 in September 2016 making a total of 291 successful inbound calls in quarter 1.&#10;&#10;Speak and Listen (voice)&#10;0 in July 2016, 0 in August 2016 and  1 in September 2016 making a total of 1 successful inbound call in quarter 1.&#10;&#10;Speak and Listen&#10;52 in July 2016, 37 in August 2016 and 63 in September 2016 making a total of 152 successful inbound calls in quarter 1.&#10;&#10;Modem/CTM&#10;9 in July 2016, 21 in August 2016 and 14 in September 2016 making a total of 44 successful inbound calls in quarter 1.&#10;&#10;Voice calls&#10;2,023 in July 2016, 2,048 in August 2016 and 1,950 in September 2016 making a total of 6,021 successful inbound calls in quarter 1.&#10;&#10;TTY - Speak and Read&#10;4,089 in July 2016, 3,896 in August 2016 and 3,614 in September 2016 making a total of 11,599 successful inbound calls in quarter 1.&#10;&#10;TTY - Type and Listen&#10;82 in July 2016, 62 in August 2016 and 57 in September 2016 making a total of 201 successful inbound calls in quarter 1.&#10;&#10;TTY - Type and Read&#10;2,432 in July 2016, 2,942 in August 2016 and 2,628 in September 2016 making a total of 8,002 successful inbound calls in quarter 1." title="Successful Inbound Connections (by service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0" cy="3952875"/>
                    </a:xfrm>
                    <a:prstGeom prst="rect">
                      <a:avLst/>
                    </a:prstGeom>
                    <a:noFill/>
                    <a:ln>
                      <a:noFill/>
                    </a:ln>
                  </pic:spPr>
                </pic:pic>
              </a:graphicData>
            </a:graphic>
          </wp:inline>
        </w:drawing>
      </w:r>
    </w:p>
    <w:p w14:paraId="366F30D5" w14:textId="7ADCF0B8" w:rsidR="00A35060" w:rsidRPr="000C5347" w:rsidRDefault="00A35060" w:rsidP="009221A3">
      <w:r w:rsidRPr="000C5347">
        <w:t>2</w:t>
      </w:r>
      <w:r w:rsidR="000B5A15">
        <w:t>75</w:t>
      </w:r>
      <w:r w:rsidR="00446A74" w:rsidRPr="000C5347">
        <w:t>,</w:t>
      </w:r>
      <w:r w:rsidR="00446A74">
        <w:t>770</w:t>
      </w:r>
      <w:r w:rsidRPr="000C5347">
        <w:t xml:space="preserve"> successful inbound connections were made to the NRS in Quarter </w:t>
      </w:r>
      <w:r w:rsidR="000B5A15">
        <w:t>1</w:t>
      </w:r>
      <w:r w:rsidRPr="000C5347">
        <w:t xml:space="preserve">, </w:t>
      </w:r>
      <w:r w:rsidR="009221A3">
        <w:t>2016–17</w:t>
      </w:r>
      <w:r w:rsidRPr="000C5347">
        <w:t xml:space="preserve"> representing an increase of </w:t>
      </w:r>
      <w:r w:rsidR="000B5A15">
        <w:t>nearly 13</w:t>
      </w:r>
      <w:r w:rsidRPr="000C5347">
        <w:t xml:space="preserve">% from the previous quarter. </w:t>
      </w:r>
    </w:p>
    <w:p w14:paraId="62B13178" w14:textId="237FF286" w:rsidR="00A35060" w:rsidRPr="000C5347" w:rsidRDefault="00A35060" w:rsidP="009221A3">
      <w:r w:rsidRPr="000C5347">
        <w:t>Use of captioned relay and the NRS app by internet relay users continued to grow in this quarter, with</w:t>
      </w:r>
      <w:r w:rsidR="006E4B2E">
        <w:t xml:space="preserve"> use of the TTY </w:t>
      </w:r>
      <w:r w:rsidR="00586433">
        <w:t xml:space="preserve">remaining </w:t>
      </w:r>
      <w:r w:rsidR="00867448">
        <w:t xml:space="preserve">in </w:t>
      </w:r>
      <w:r w:rsidR="006E4B2E">
        <w:t>decline</w:t>
      </w:r>
      <w:r w:rsidRPr="000C5347">
        <w:t xml:space="preserve">. </w:t>
      </w:r>
      <w:r w:rsidR="006E4B2E">
        <w:t>Nearly two-thirds</w:t>
      </w:r>
      <w:r w:rsidRPr="000C5347">
        <w:t xml:space="preserve"> of all successful connections to the NRS in Quarter </w:t>
      </w:r>
      <w:r w:rsidR="006E4B2E">
        <w:t>1</w:t>
      </w:r>
      <w:r w:rsidRPr="000C5347">
        <w:t xml:space="preserve">, </w:t>
      </w:r>
      <w:r w:rsidR="009221A3">
        <w:t>2016–17</w:t>
      </w:r>
      <w:r w:rsidRPr="000C5347">
        <w:t xml:space="preserve"> were made by captioned relay handset users.</w:t>
      </w:r>
    </w:p>
    <w:p w14:paraId="72851186" w14:textId="15019F8D" w:rsidR="005B5C58" w:rsidRPr="003D09F1" w:rsidRDefault="005B5C58" w:rsidP="00333144">
      <w:pPr>
        <w:pStyle w:val="Heading2"/>
      </w:pPr>
      <w:r w:rsidRPr="003D09F1">
        <w:t>Outbound call minutes relayed (by inbound c</w:t>
      </w:r>
      <w:r w:rsidR="00B54151">
        <w:t>onnection</w:t>
      </w:r>
      <w:r w:rsidRPr="003D09F1">
        <w:t xml:space="preserve"> type)</w:t>
      </w:r>
    </w:p>
    <w:p w14:paraId="370038F8" w14:textId="36EA18C8" w:rsidR="00A35060" w:rsidRPr="000C5347" w:rsidRDefault="00A35060" w:rsidP="009221A3">
      <w:pPr>
        <w:keepNext/>
      </w:pPr>
      <w:r w:rsidRPr="000C5347">
        <w:t xml:space="preserve">The following graph shows a breakdown of the outbound call minutes for each inbound </w:t>
      </w:r>
      <w:r w:rsidR="0019770B">
        <w:t xml:space="preserve">connection </w:t>
      </w:r>
      <w:r w:rsidRPr="000C5347">
        <w:t xml:space="preserve">type in </w:t>
      </w:r>
      <w:r w:rsidR="0084327C">
        <w:t>Quarter 1</w:t>
      </w:r>
      <w:r w:rsidR="00C82598">
        <w:t xml:space="preserve">, </w:t>
      </w:r>
      <w:r w:rsidR="009221A3">
        <w:t>2016–17</w:t>
      </w:r>
      <w:r w:rsidRPr="000C5347">
        <w:t>:</w:t>
      </w:r>
    </w:p>
    <w:p w14:paraId="11F9978D" w14:textId="0666DAEC" w:rsidR="00004BCB" w:rsidRDefault="00D665DB" w:rsidP="009221A3">
      <w:pPr>
        <w:rPr>
          <w:rFonts w:asciiTheme="majorHAnsi" w:hAnsiTheme="majorHAnsi" w:cs="Arial"/>
          <w:szCs w:val="27"/>
        </w:rPr>
      </w:pPr>
      <w:r>
        <w:rPr>
          <w:rFonts w:asciiTheme="majorHAnsi" w:hAnsiTheme="majorHAnsi" w:cs="Arial"/>
          <w:noProof/>
          <w:szCs w:val="27"/>
          <w:lang w:eastAsia="zh-TW" w:bidi="hi-IN"/>
        </w:rPr>
        <w:drawing>
          <wp:inline distT="0" distB="0" distL="0" distR="0" wp14:anchorId="7FF4FC96" wp14:editId="5D12D657">
            <wp:extent cx="5924550" cy="3762375"/>
            <wp:effectExtent l="0" t="0" r="0" b="9525"/>
            <wp:docPr id="8" name="Picture 8" descr="Outbound call minutes relayed by inbound call types&#10;&#10;This graph shows a month-on-month breakdown of the number of call minutes relayed by each of the NRS service access options in Quarter 1.&#10;  &#10;The service acess options are listed along the Y axis and the number of call minutes is listed along the X axis. Colour coding has been used to breakdown the amount of call minutes for each month.&#10;&#10;The results are as follows:&#10;&#10;Captioned relay (web browser) 5,287 minutes in July 2016, 2,977 minutes in August 2016 and 2,084 minutes in September 2016 making a total of 10,348 call minutes in quarter 1.&#10;&#10;Captioned relay (handset)&#10;204,676 minutes in July 2016,  226,603 minutes in August 2016 and 214,012 minutes in September 2016 making a total of 645,291 call minutes in quarter 1.&#10;&#10;SMS relay (voice)&#10;392 minutes in July 2016, 325 minutes in August 2016 and 547 minutes in September 2016 making a total of 1,264 call minutes in quarter 1.&#10;&#10;SMS relay&#10;31,020 minutes in July 2016, 35,016 minutes in August 2016 and 32,907 minutes in September 2016 making a total of 98,943 call minutes in quarter 1.&#10;&#10;Video relay (voice)&#10;13 minutes in July 2016, 71 minutes in August 2016 and 8 minutes in September 2016 making a total of 92 call minutes in quarter 1.&#10;&#10;Video relay&#10;13,262 minutes in July 2016, 15,129 minutes in August 2016 and 12,759 minutes in September 2016 making a total of 41,150 call minutes in quarter 1.&#10;&#10;106 Emergency service&#10;52 minutes in July 2016, 54 minutes in August 2016 and 37 minutes in September 2016 making a total of  143 call minutes in quarter 1.&#10;&#10;Internet relay (app)&#10;40,318 minutes in July 2016, 41,238 minutes in August 2016 and 42,058 minutes in September 2016 making a total of 123,614 call minutes in quarter 1.&#10;&#10;Internet relay (voice)&#10;2 minutes in July 2016, 16 minutes in August 2016 and 9 minutes in September 2016 making a total of 27 call minutes in quarter 1.&#10;&#10;Internet relay&#10;127,806 minutes in July 2016,  139,629 minutes in August 2016 and 128,745 minutes in September 2016 making a total of 396,180 call minutes in quarter 1.&#10;&#10;Speak and Listen (app)&#10;3,418 minutes in July 2016, 3,443 minutes in August 2016 and 2,682 minutes in September 2016 making a total of 9,543 call minutes in quarter 1.&#10;&#10;Speak and Listen&#10;341 minutes in July 2016, 353 minutes in August 2016 and 1,097 minutes in September 2016 making a total of 1,791 call minutes in quarter 1.&#10;&#10;Modem/CTM&#10;38 minutes in July 2016, 101 minutes in August 2016 and  49 minutes in September 2016 making a total of 188 call minutes in quarter 1.&#10;&#10;Voice calls&#10;9,878 minutes in July 2016, 9,135 minutes in August 2016 and 8,752 minutes in September 2016 making a total of 27,765 call minutes in quarter 1.&#10;&#10;TTY - Speak and Read&#10;29,469 minutes in July 2016, 28,444 minutes in August 2016 and  27,227 minutes in September 2016 making a total of 85,140 call minutes in quarter 1.&#10;&#10;TTY - Type and Listen&#10;398 minutes in July 2016, 26 minutes in August 2016 and  281 minutes in September 2016 making a total of 705 call minutes in quarter 1.&#10;&#10;TTY - Type and Read&#10;18,465 minutes in July 2016, 22,481 minutes in August 2016 and 18,527 minutes in September 2016 making a total of 59,473 call minutes in quarter 1." title="Outbound call minutes relayed by inbound call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24550" cy="3762375"/>
                    </a:xfrm>
                    <a:prstGeom prst="rect">
                      <a:avLst/>
                    </a:prstGeom>
                    <a:noFill/>
                    <a:ln>
                      <a:noFill/>
                    </a:ln>
                  </pic:spPr>
                </pic:pic>
              </a:graphicData>
            </a:graphic>
          </wp:inline>
        </w:drawing>
      </w:r>
    </w:p>
    <w:p w14:paraId="5A6BA9FC" w14:textId="2D45487C" w:rsidR="00004BCB" w:rsidRPr="000C5347" w:rsidRDefault="009165DC" w:rsidP="009221A3">
      <w:r>
        <w:t xml:space="preserve">Around </w:t>
      </w:r>
      <w:r w:rsidR="00004BCB" w:rsidRPr="000C5347">
        <w:t>1.</w:t>
      </w:r>
      <w:r>
        <w:t>5</w:t>
      </w:r>
      <w:r w:rsidR="00004BCB" w:rsidRPr="000C5347">
        <w:t xml:space="preserve"> million call minutes were relayed in Quarter </w:t>
      </w:r>
      <w:r>
        <w:t>1</w:t>
      </w:r>
      <w:r w:rsidR="00004BCB" w:rsidRPr="000C5347">
        <w:t xml:space="preserve">, </w:t>
      </w:r>
      <w:r w:rsidR="009221A3">
        <w:t>2016–17</w:t>
      </w:r>
      <w:r w:rsidR="00004BCB" w:rsidRPr="000C5347">
        <w:t>. This is an increase of</w:t>
      </w:r>
      <w:r>
        <w:t xml:space="preserve"> more than 11</w:t>
      </w:r>
      <w:r w:rsidR="00004BCB" w:rsidRPr="000C5347">
        <w:t>% on the previous quarter.</w:t>
      </w:r>
      <w:r w:rsidR="009221A3">
        <w:t xml:space="preserve"> </w:t>
      </w:r>
      <w:r>
        <w:t xml:space="preserve">Continued take up of the </w:t>
      </w:r>
      <w:r w:rsidR="00CE78A0">
        <w:t>c</w:t>
      </w:r>
      <w:r>
        <w:t>aptioned relay handset option was largely responsible for the level of growth in call minutes seen in the quarter.</w:t>
      </w:r>
    </w:p>
    <w:p w14:paraId="7285118C" w14:textId="7ACFE9E1" w:rsidR="005B5C58" w:rsidRPr="003D09F1" w:rsidRDefault="005B5C58" w:rsidP="00333144">
      <w:pPr>
        <w:pStyle w:val="Heading2"/>
      </w:pPr>
      <w:r w:rsidRPr="003D09F1">
        <w:t xml:space="preserve">Calls to emergency services relayed </w:t>
      </w:r>
      <w:r w:rsidR="0005537D">
        <w:t>through</w:t>
      </w:r>
      <w:r w:rsidR="0005537D" w:rsidRPr="003D09F1">
        <w:t xml:space="preserve"> </w:t>
      </w:r>
      <w:r w:rsidRPr="003D09F1">
        <w:t>the NRS</w:t>
      </w:r>
    </w:p>
    <w:p w14:paraId="050462FA" w14:textId="52AB5437" w:rsidR="00004BCB" w:rsidRPr="000C5347" w:rsidRDefault="00004BCB" w:rsidP="009221A3">
      <w:r w:rsidRPr="000C5347">
        <w:t>All NRS calls (except for the video relay service, which has limited operating hours) requ</w:t>
      </w:r>
      <w:r w:rsidR="0005537D">
        <w:t>esting</w:t>
      </w:r>
      <w:r w:rsidRPr="000C5347">
        <w:t xml:space="preserve"> emergency services are given priority access to a relay officer</w:t>
      </w:r>
      <w:r w:rsidR="0005537D">
        <w:t xml:space="preserve"> within the relay service provider’s internal system</w:t>
      </w:r>
      <w:r w:rsidRPr="000C5347">
        <w:t>, before being connected to either a Triple Zero operator or directly to the appropriate emergency service organisation</w:t>
      </w:r>
      <w:r w:rsidR="00C302BA">
        <w:t xml:space="preserve"> for TTY </w:t>
      </w:r>
      <w:r w:rsidR="0005537D">
        <w:t xml:space="preserve">106 </w:t>
      </w:r>
      <w:r w:rsidR="00C302BA">
        <w:t>text emergency calls</w:t>
      </w:r>
      <w:r w:rsidR="0010018F">
        <w:t>.</w:t>
      </w:r>
    </w:p>
    <w:p w14:paraId="1455B53D" w14:textId="06B27437" w:rsidR="00004BCB" w:rsidRPr="000C5347" w:rsidRDefault="00004BCB" w:rsidP="009221A3">
      <w:pPr>
        <w:keepNext/>
      </w:pPr>
      <w:r w:rsidRPr="000C5347">
        <w:t xml:space="preserve">The chart below illustrates the ways </w:t>
      </w:r>
      <w:r w:rsidR="00C302BA">
        <w:t xml:space="preserve">in which </w:t>
      </w:r>
      <w:r w:rsidRPr="000C5347">
        <w:t xml:space="preserve">NRS users accessed emergency services in </w:t>
      </w:r>
      <w:r w:rsidR="00C302BA">
        <w:t xml:space="preserve">Quarter 1 </w:t>
      </w:r>
      <w:r w:rsidR="009221A3">
        <w:t>2016–17</w:t>
      </w:r>
      <w:r w:rsidRPr="000C5347">
        <w:t>:</w:t>
      </w:r>
    </w:p>
    <w:p w14:paraId="7285118F" w14:textId="2A7D6711" w:rsidR="005B5C58" w:rsidRDefault="009D4F6F" w:rsidP="009221A3">
      <w:pPr>
        <w:rPr>
          <w:rFonts w:asciiTheme="majorHAnsi" w:hAnsiTheme="majorHAnsi" w:cs="Arial"/>
          <w:sz w:val="24"/>
          <w:szCs w:val="27"/>
        </w:rPr>
      </w:pPr>
      <w:r>
        <w:rPr>
          <w:rFonts w:asciiTheme="majorHAnsi" w:hAnsiTheme="majorHAnsi" w:cs="Arial"/>
          <w:noProof/>
          <w:sz w:val="24"/>
          <w:szCs w:val="27"/>
          <w:lang w:eastAsia="zh-TW" w:bidi="hi-IN"/>
        </w:rPr>
        <w:drawing>
          <wp:inline distT="0" distB="0" distL="0" distR="0" wp14:anchorId="57C7FA81" wp14:editId="6CB333E0">
            <wp:extent cx="4667250" cy="2847975"/>
            <wp:effectExtent l="0" t="0" r="0" b="9525"/>
            <wp:docPr id="11" name="Picture 11" descr="Calls to Emergency Services&#10;&#10;This graph shows a month-on-month breakdown of calls to emergency service organisations for each call type during quarter 1.&#10;&#10;The call types are listed along the Y axis and the number of calls is listed along the X axis. Colour coding has been used to breakdown the amount of calls for each month.&#10;&#10;The results are as follows:&#10;&#10;Captioned relay users to Triple Zero&#10;63 calls in July 2016, 37 calls in August 2016 and 39 calls in September 2016 making a total of 139 calls in quarter 1.&#10;&#10;Video relay users to Triple Zero&#10;0 calls in July 2016, 0 calls in August 2016 and 2 calls in September 2016 making a total of 2 calls in quarter 1.&#10;&#10;SMS relay users to Triple Zero&#10;22 calls in July 2016, 27 calls in August 2016 and 24 calls in September 2016 making a total of 73 calls in quarter 1.&#10;&#10;Speak and Listen App users to Triple Zero&#10;There were 0 calls to Triple Zero in quarter 1.&#10;&#10;Speak and Listen users to Triple Zero&#10;There were 0 calls to Triple Zero in quarter 1.&#10;&#10;Internet relay app users to Triple Zero&#10;25 calls in July 2016, 18 calls in August 2016 and 20 calls in September 2016 making a total of 63 calls in quarter 1.&#10;&#10;Internet relay web browser users to Triple Zero&#10;10 calls in July 2016, 14 calls in August 2016 and 21 calls in September 2016 making a total of 45 calls in quarter 1.&#10;&#10;TTY users to Triple Zero&#10;2 calls in July 2016, 4 calls in August 2016 and 4 calls in September 2016 making a total of 10 calls in quarter 1.&#10;&#10;TTY users to 106&#10;7 calls in July 2016, 10 calls in August 2016 and 7 calls in September 2016 making a total of 24 calls in quarter 1." title="Calls to Emergency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0" cy="2847975"/>
                    </a:xfrm>
                    <a:prstGeom prst="rect">
                      <a:avLst/>
                    </a:prstGeom>
                    <a:noFill/>
                    <a:ln>
                      <a:noFill/>
                    </a:ln>
                  </pic:spPr>
                </pic:pic>
              </a:graphicData>
            </a:graphic>
          </wp:inline>
        </w:drawing>
      </w:r>
    </w:p>
    <w:p w14:paraId="5B7083E0" w14:textId="757450A0" w:rsidR="00004BCB" w:rsidRPr="003E2829" w:rsidRDefault="00004BCB" w:rsidP="009221A3">
      <w:r w:rsidRPr="003E2829">
        <w:t>3</w:t>
      </w:r>
      <w:r w:rsidR="00C302BA">
        <w:t>56</w:t>
      </w:r>
      <w:r w:rsidRPr="003E2829">
        <w:t xml:space="preserve"> calls to emergency services were relayed in</w:t>
      </w:r>
      <w:r w:rsidR="0005537D">
        <w:t xml:space="preserve"> this quarter, compared to 343 in the previous quarter.</w:t>
      </w:r>
    </w:p>
    <w:p w14:paraId="7CA1B2F2" w14:textId="0E3E67B3" w:rsidR="00004BCB" w:rsidRPr="003E2829" w:rsidRDefault="00004BCB" w:rsidP="009221A3">
      <w:r w:rsidRPr="003E2829">
        <w:t>Use of captioned relay, SMS relay, and internet relay account</w:t>
      </w:r>
      <w:r w:rsidR="00C302BA">
        <w:t xml:space="preserve">ed </w:t>
      </w:r>
      <w:r w:rsidRPr="003E2829">
        <w:t xml:space="preserve">for nearly </w:t>
      </w:r>
      <w:r w:rsidR="00C302BA">
        <w:t xml:space="preserve">9 out of every 10 </w:t>
      </w:r>
      <w:r w:rsidRPr="003E2829">
        <w:t>calls made to emergency services</w:t>
      </w:r>
      <w:r w:rsidR="00C302BA">
        <w:t xml:space="preserve"> through the relay service</w:t>
      </w:r>
      <w:r w:rsidR="00A64BAF">
        <w:t xml:space="preserve"> in </w:t>
      </w:r>
      <w:r w:rsidR="007350C9">
        <w:t xml:space="preserve">this </w:t>
      </w:r>
      <w:r w:rsidR="00A64BAF">
        <w:t>quarter</w:t>
      </w:r>
      <w:r w:rsidRPr="003E2829">
        <w:t>.</w:t>
      </w:r>
    </w:p>
    <w:p w14:paraId="72851192" w14:textId="77777777" w:rsidR="005B5C58" w:rsidRPr="003D09F1" w:rsidRDefault="005B5C58" w:rsidP="00333144">
      <w:pPr>
        <w:pStyle w:val="Heading2"/>
      </w:pPr>
      <w:r w:rsidRPr="003D09F1">
        <w:t>Helpdesk enquiries</w:t>
      </w:r>
    </w:p>
    <w:p w14:paraId="6DDE1BAF" w14:textId="6DC97C62" w:rsidR="00004BCB" w:rsidRPr="003E2829" w:rsidRDefault="00004BCB" w:rsidP="009221A3">
      <w:r w:rsidRPr="003E2829">
        <w:t xml:space="preserve">The outreach service provider provides a </w:t>
      </w:r>
      <w:r w:rsidR="00CE78A0">
        <w:t>H</w:t>
      </w:r>
      <w:r w:rsidRPr="003E2829">
        <w:t>elp</w:t>
      </w:r>
      <w:r w:rsidR="00CE78A0">
        <w:t xml:space="preserve"> D</w:t>
      </w:r>
      <w:r w:rsidRPr="003E2829">
        <w:t xml:space="preserve">esk support function and handles complaints </w:t>
      </w:r>
      <w:r w:rsidR="009221A3">
        <w:t>and feedback about the service.</w:t>
      </w:r>
    </w:p>
    <w:p w14:paraId="7CD8F358" w14:textId="2E1E5214" w:rsidR="00004BCB" w:rsidRPr="003E2829" w:rsidRDefault="00004BCB" w:rsidP="0010018F">
      <w:pPr>
        <w:keepNext/>
      </w:pPr>
      <w:r w:rsidRPr="003E2829">
        <w:t xml:space="preserve">The graph below illustrates a breakdown of the types of helpdesk enquiries received in </w:t>
      </w:r>
      <w:r w:rsidR="00572188">
        <w:t xml:space="preserve">quarter 1 </w:t>
      </w:r>
      <w:r w:rsidRPr="003E2829">
        <w:t>201</w:t>
      </w:r>
      <w:r w:rsidR="00572188">
        <w:t>6</w:t>
      </w:r>
      <w:r w:rsidR="00217F7E">
        <w:t>/</w:t>
      </w:r>
      <w:r w:rsidRPr="003E2829">
        <w:t>1</w:t>
      </w:r>
      <w:r w:rsidR="00572188">
        <w:t>7</w:t>
      </w:r>
      <w:r w:rsidRPr="003E2829">
        <w:t>:</w:t>
      </w:r>
    </w:p>
    <w:p w14:paraId="019E4F25" w14:textId="15516566" w:rsidR="003F395C" w:rsidRDefault="009D4F6F" w:rsidP="009221A3">
      <w:pPr>
        <w:rPr>
          <w:rFonts w:asciiTheme="majorHAnsi" w:hAnsiTheme="majorHAnsi" w:cs="Arial"/>
          <w:sz w:val="24"/>
          <w:szCs w:val="27"/>
        </w:rPr>
      </w:pPr>
      <w:r>
        <w:rPr>
          <w:rFonts w:asciiTheme="majorHAnsi" w:hAnsiTheme="majorHAnsi" w:cs="Arial"/>
          <w:noProof/>
          <w:sz w:val="24"/>
          <w:szCs w:val="27"/>
          <w:lang w:eastAsia="zh-TW" w:bidi="hi-IN"/>
        </w:rPr>
        <w:drawing>
          <wp:inline distT="0" distB="0" distL="0" distR="0" wp14:anchorId="53A9F725" wp14:editId="0818F6AF">
            <wp:extent cx="5372100" cy="2638425"/>
            <wp:effectExtent l="0" t="0" r="0" b="9525"/>
            <wp:docPr id="12" name="Picture 12" descr="Helpdesk enquiries&#10;&#10;This graph shows the breakdown of helpdesk enquiries received during quarter 1.&#10;&#10;The enquiry categories are listed along the Y axis and the number of enquiries is listed along the X axis.&#10;&#10;The results are as follows:&#10;&#10;Complaints&#10;41 enquiries in quarter 1&#10;&#10;Feedback&#10;17 enquiries in quarter 1&#10;&#10;Unwelcome calls&#10;20 receieved in quarter 1&#10;&#10;Technical support and issue resolution&#10;32 enquiries in quarter 1&#10;&#10;Business introduction and support&#10;300 enquiries in quarter 1&#10;&#10;Client maintenance and support&#10;462 enquiries in quarter 1&#10;&#10;Client introduction&#10;248 enquiries in quarter 1&#10;&#10;Not for NRS&#10;3,612 enquiries in quarter 1" title="Helpdesk enqui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2100" cy="2638425"/>
                    </a:xfrm>
                    <a:prstGeom prst="rect">
                      <a:avLst/>
                    </a:prstGeom>
                    <a:noFill/>
                    <a:ln>
                      <a:noFill/>
                    </a:ln>
                  </pic:spPr>
                </pic:pic>
              </a:graphicData>
            </a:graphic>
          </wp:inline>
        </w:drawing>
      </w:r>
    </w:p>
    <w:p w14:paraId="4ED2645C" w14:textId="191ED3C0" w:rsidR="00311452" w:rsidRDefault="003F395C" w:rsidP="0010018F">
      <w:pPr>
        <w:keepLines/>
      </w:pPr>
      <w:r>
        <w:t xml:space="preserve">The NRS </w:t>
      </w:r>
      <w:r w:rsidR="00CE78A0">
        <w:t>H</w:t>
      </w:r>
      <w:r>
        <w:t>elp</w:t>
      </w:r>
      <w:r w:rsidR="00CE78A0">
        <w:t xml:space="preserve"> D</w:t>
      </w:r>
      <w:r>
        <w:t xml:space="preserve">esk experienced an elevated volume of ‘not for us’ calls in quarter 1 </w:t>
      </w:r>
      <w:r w:rsidR="009221A3">
        <w:t>2016–17</w:t>
      </w:r>
      <w:r>
        <w:t>, primarily related to</w:t>
      </w:r>
      <w:r w:rsidR="001F2A29">
        <w:t xml:space="preserve"> misdirected</w:t>
      </w:r>
      <w:r>
        <w:t xml:space="preserve"> Census 2016 calls.</w:t>
      </w:r>
      <w:r w:rsidR="009221A3">
        <w:t xml:space="preserve"> </w:t>
      </w:r>
      <w:r w:rsidR="00311452" w:rsidRPr="00311452">
        <w:t xml:space="preserve">A proactive approach taken by outreach </w:t>
      </w:r>
      <w:r w:rsidR="00311452">
        <w:t xml:space="preserve">service provider </w:t>
      </w:r>
      <w:r w:rsidR="00311452" w:rsidRPr="00311452">
        <w:t>ensured the calls were answered efficiently and there was no impact on genuine NRS customer contacts to the Helpdesk.</w:t>
      </w:r>
    </w:p>
    <w:p w14:paraId="67D7A70E" w14:textId="3D0C9E92" w:rsidR="00311452" w:rsidRPr="00311452" w:rsidRDefault="00311452" w:rsidP="009221A3">
      <w:r w:rsidRPr="00311452">
        <w:t>Otherwise the level of Help</w:t>
      </w:r>
      <w:r w:rsidR="00CE78A0">
        <w:t xml:space="preserve"> D</w:t>
      </w:r>
      <w:r w:rsidRPr="00311452">
        <w:t>esk activities remained largely unchanged from the previous quarter. Other than ‘not for us’ calls, client maintenance and support (462), business introduction and support (300), along with client introduction (248) remained the primary functions undertaken by the Help</w:t>
      </w:r>
      <w:r w:rsidR="00CE78A0">
        <w:t xml:space="preserve"> D</w:t>
      </w:r>
      <w:r w:rsidR="009221A3">
        <w:t>esk.</w:t>
      </w:r>
    </w:p>
    <w:p w14:paraId="72851197" w14:textId="42C93819" w:rsidR="005B5C58" w:rsidRPr="000F768B" w:rsidRDefault="005B5C58" w:rsidP="009221A3"/>
    <w:sectPr w:rsidR="005B5C58" w:rsidRPr="000F768B" w:rsidSect="0084603E">
      <w:headerReference w:type="default" r:id="rId17"/>
      <w:footerReference w:type="default" r:id="rId18"/>
      <w:type w:val="continuous"/>
      <w:pgSz w:w="11906" w:h="16838"/>
      <w:pgMar w:top="1702" w:right="1133" w:bottom="1276" w:left="1440"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511A4" w14:textId="77777777" w:rsidR="000C5097" w:rsidRDefault="000C5097" w:rsidP="003F0A2D">
      <w:pPr>
        <w:spacing w:after="0"/>
      </w:pPr>
      <w:r>
        <w:separator/>
      </w:r>
    </w:p>
  </w:endnote>
  <w:endnote w:type="continuationSeparator" w:id="0">
    <w:p w14:paraId="728511A5" w14:textId="77777777" w:rsidR="000C5097" w:rsidRDefault="000C5097"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511A6" w14:textId="77777777" w:rsidR="000C5097" w:rsidRDefault="000C5097" w:rsidP="00297528">
    <w:pPr>
      <w:pStyle w:val="Footer"/>
      <w:ind w:left="-1418"/>
    </w:pPr>
    <w:r>
      <w:rPr>
        <w:noProof/>
        <w:lang w:eastAsia="zh-TW" w:bidi="hi-IN"/>
      </w:rPr>
      <w:drawing>
        <wp:inline distT="0" distB="0" distL="0" distR="0" wp14:anchorId="728511AB" wp14:editId="728511AC">
          <wp:extent cx="7550988" cy="721970"/>
          <wp:effectExtent l="0" t="0" r="0" b="2540"/>
          <wp:docPr id="10" name="Picture 10" descr="GPO Box 2154, Canberra ACT 2601 Australia.&#10;Telephone: 02 6271 1000&#10;Web: www.communications.gov.au." title="Address for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cument-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2051" cy="73832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511A9" w14:textId="7671BBED" w:rsidR="000C5097" w:rsidRDefault="000C5097" w:rsidP="00E541EC">
    <w:pPr>
      <w:pStyle w:val="Footer"/>
      <w:tabs>
        <w:tab w:val="clear" w:pos="9026"/>
        <w:tab w:val="right" w:pos="9333"/>
      </w:tabs>
      <w:ind w:left="-567"/>
      <w:rPr>
        <w:sz w:val="18"/>
        <w:szCs w:val="18"/>
      </w:rPr>
    </w:pPr>
    <w:r>
      <w:rPr>
        <w:sz w:val="18"/>
        <w:szCs w:val="18"/>
      </w:rPr>
      <w:t>National Relay Service Quarterly Performance</w:t>
    </w:r>
    <w:r w:rsidR="00842D77">
      <w:rPr>
        <w:sz w:val="18"/>
        <w:szCs w:val="18"/>
      </w:rPr>
      <w:tab/>
    </w:r>
    <w:hyperlink r:id="rId1" w:history="1">
      <w:r w:rsidR="00842D77" w:rsidRPr="00B21557">
        <w:rPr>
          <w:rStyle w:val="Hyperlink"/>
          <w:sz w:val="18"/>
          <w:szCs w:val="18"/>
        </w:rPr>
        <w:t>www.communications.gov.au</w:t>
      </w:r>
    </w:hyperlink>
    <w:r w:rsidR="00842D77">
      <w:rPr>
        <w:sz w:val="18"/>
        <w:szCs w:val="18"/>
      </w:rPr>
      <w:tab/>
    </w:r>
    <w:sdt>
      <w:sdtPr>
        <w:rPr>
          <w:sz w:val="18"/>
          <w:szCs w:val="18"/>
        </w:rPr>
        <w:id w:val="-984167973"/>
        <w:docPartObj>
          <w:docPartGallery w:val="Page Numbers (Top of Page)"/>
          <w:docPartUnique/>
        </w:docPartObj>
      </w:sdtPr>
      <w:sdtEndPr/>
      <w:sdtContent>
        <w:r w:rsidR="00842D77" w:rsidRPr="000249BC">
          <w:rPr>
            <w:sz w:val="18"/>
            <w:szCs w:val="18"/>
          </w:rPr>
          <w:t xml:space="preserve">Page </w:t>
        </w:r>
        <w:r w:rsidR="00842D77" w:rsidRPr="000249BC">
          <w:rPr>
            <w:bCs/>
            <w:sz w:val="18"/>
            <w:szCs w:val="18"/>
          </w:rPr>
          <w:fldChar w:fldCharType="begin"/>
        </w:r>
        <w:r w:rsidR="00842D77" w:rsidRPr="000249BC">
          <w:rPr>
            <w:bCs/>
            <w:sz w:val="18"/>
            <w:szCs w:val="18"/>
          </w:rPr>
          <w:instrText xml:space="preserve"> PAGE </w:instrText>
        </w:r>
        <w:r w:rsidR="00842D77" w:rsidRPr="000249BC">
          <w:rPr>
            <w:bCs/>
            <w:sz w:val="18"/>
            <w:szCs w:val="18"/>
          </w:rPr>
          <w:fldChar w:fldCharType="separate"/>
        </w:r>
        <w:r w:rsidR="005C2DE6">
          <w:rPr>
            <w:bCs/>
            <w:noProof/>
            <w:sz w:val="18"/>
            <w:szCs w:val="18"/>
          </w:rPr>
          <w:t>8</w:t>
        </w:r>
        <w:r w:rsidR="00842D77" w:rsidRPr="000249BC">
          <w:rPr>
            <w:bCs/>
            <w:sz w:val="18"/>
            <w:szCs w:val="18"/>
          </w:rPr>
          <w:fldChar w:fldCharType="end"/>
        </w:r>
        <w:r w:rsidR="00842D77" w:rsidRPr="000249BC">
          <w:rPr>
            <w:sz w:val="18"/>
            <w:szCs w:val="18"/>
          </w:rPr>
          <w:t xml:space="preserve"> of </w:t>
        </w:r>
        <w:r w:rsidR="00842D77" w:rsidRPr="000249BC">
          <w:rPr>
            <w:bCs/>
            <w:sz w:val="18"/>
            <w:szCs w:val="18"/>
          </w:rPr>
          <w:fldChar w:fldCharType="begin"/>
        </w:r>
        <w:r w:rsidR="00842D77" w:rsidRPr="000249BC">
          <w:rPr>
            <w:bCs/>
            <w:sz w:val="18"/>
            <w:szCs w:val="18"/>
          </w:rPr>
          <w:instrText xml:space="preserve"> NUMPAGES  </w:instrText>
        </w:r>
        <w:r w:rsidR="00842D77" w:rsidRPr="000249BC">
          <w:rPr>
            <w:bCs/>
            <w:sz w:val="18"/>
            <w:szCs w:val="18"/>
          </w:rPr>
          <w:fldChar w:fldCharType="separate"/>
        </w:r>
        <w:r w:rsidR="005C2DE6">
          <w:rPr>
            <w:bCs/>
            <w:noProof/>
            <w:sz w:val="18"/>
            <w:szCs w:val="18"/>
          </w:rPr>
          <w:t>8</w:t>
        </w:r>
        <w:r w:rsidR="00842D77" w:rsidRPr="000249BC">
          <w:rPr>
            <w:bCs/>
            <w:sz w:val="18"/>
            <w:szCs w:val="18"/>
          </w:rPr>
          <w:fldChar w:fldCharType="end"/>
        </w:r>
      </w:sdtContent>
    </w:sdt>
  </w:p>
  <w:p w14:paraId="728511AA" w14:textId="109D2995" w:rsidR="000C5097" w:rsidRPr="000249BC" w:rsidRDefault="00842D77" w:rsidP="00842D77">
    <w:pPr>
      <w:pStyle w:val="Footer"/>
      <w:tabs>
        <w:tab w:val="clear" w:pos="9026"/>
        <w:tab w:val="right" w:pos="9333"/>
      </w:tabs>
      <w:ind w:left="-567"/>
      <w:rPr>
        <w:sz w:val="18"/>
        <w:szCs w:val="18"/>
      </w:rPr>
    </w:pPr>
    <w:r>
      <w:rPr>
        <w:sz w:val="18"/>
        <w:szCs w:val="18"/>
      </w:rPr>
      <w:t xml:space="preserve">Report: </w:t>
    </w:r>
    <w:r w:rsidR="000C5097">
      <w:rPr>
        <w:sz w:val="18"/>
        <w:szCs w:val="18"/>
      </w:rPr>
      <w:t>Quarter 4 2015</w:t>
    </w:r>
    <w:r w:rsidR="009221A3">
      <w:rPr>
        <w:sz w:val="18"/>
        <w:szCs w:val="18"/>
      </w:rPr>
      <w:t>–</w:t>
    </w:r>
    <w:r w:rsidR="000C5097">
      <w:rPr>
        <w:sz w:val="18"/>
        <w:szCs w:val="18"/>
      </w:rPr>
      <w:t>2016</w:t>
    </w:r>
    <w:r w:rsidR="000C5097">
      <w:rPr>
        <w:sz w:val="18"/>
        <w:szCs w:val="18"/>
      </w:rPr>
      <w:tab/>
    </w:r>
    <w:hyperlink r:id="rId2" w:history="1">
      <w:r w:rsidRPr="00B21557">
        <w:rPr>
          <w:rStyle w:val="Hyperlink"/>
          <w:sz w:val="18"/>
          <w:szCs w:val="18"/>
        </w:rPr>
        <w:t>www.arts.gov.au</w:t>
      </w:r>
    </w:hyperlink>
    <w:r>
      <w:rPr>
        <w:sz w:val="18"/>
        <w:szCs w:val="18"/>
      </w:rPr>
      <w:t xml:space="preserve">, </w:t>
    </w:r>
    <w:hyperlink r:id="rId3" w:history="1">
      <w:r w:rsidRPr="00B21557">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511A2" w14:textId="77777777" w:rsidR="000C5097" w:rsidRDefault="000C5097" w:rsidP="003F0A2D">
      <w:pPr>
        <w:spacing w:after="0"/>
      </w:pPr>
      <w:r>
        <w:separator/>
      </w:r>
    </w:p>
  </w:footnote>
  <w:footnote w:type="continuationSeparator" w:id="0">
    <w:p w14:paraId="728511A3" w14:textId="77777777" w:rsidR="000C5097" w:rsidRDefault="000C5097" w:rsidP="003F0A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511A7" w14:textId="77777777" w:rsidR="000C5097" w:rsidRDefault="000C5097" w:rsidP="003F0A2D">
    <w:pPr>
      <w:pStyle w:val="Header"/>
      <w:ind w:left="-1418"/>
    </w:pPr>
    <w:r>
      <w:rPr>
        <w:noProof/>
        <w:lang w:eastAsia="zh-TW" w:bidi="hi-IN"/>
      </w:rPr>
      <w:drawing>
        <wp:inline distT="0" distB="0" distL="0" distR="0" wp14:anchorId="728511AD" wp14:editId="728511AE">
          <wp:extent cx="7634630" cy="406359"/>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634630" cy="40635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728511A8" w14:textId="71491630" w:rsidR="000C5097" w:rsidRPr="009A56D0" w:rsidRDefault="000C5097" w:rsidP="00535ADA">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Pr>
        <w:color w:val="07478C"/>
      </w:rPr>
      <w:t>Quarter 1, 2016</w:t>
    </w:r>
    <w:r w:rsidR="00774F8D">
      <w:rPr>
        <w:color w:val="07478C"/>
      </w:rPr>
      <w:t>–</w:t>
    </w:r>
    <w:r>
      <w:rPr>
        <w:color w:val="07478C"/>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9C6D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CE2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C0C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A2D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DA41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84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26C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A42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F25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88E0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3F23DC"/>
    <w:multiLevelType w:val="hybridMultilevel"/>
    <w:tmpl w:val="E7149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1813A0"/>
    <w:multiLevelType w:val="hybridMultilevel"/>
    <w:tmpl w:val="08C84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303CA6"/>
    <w:multiLevelType w:val="hybridMultilevel"/>
    <w:tmpl w:val="E1CAB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7177A6"/>
    <w:multiLevelType w:val="multilevel"/>
    <w:tmpl w:val="C86C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1B2912"/>
    <w:multiLevelType w:val="hybridMultilevel"/>
    <w:tmpl w:val="A38EF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ED53B7"/>
    <w:multiLevelType w:val="hybridMultilevel"/>
    <w:tmpl w:val="CD3E3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6D54B0"/>
    <w:multiLevelType w:val="hybridMultilevel"/>
    <w:tmpl w:val="33F6C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6A468F"/>
    <w:multiLevelType w:val="hybridMultilevel"/>
    <w:tmpl w:val="43B29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6B054F7"/>
    <w:multiLevelType w:val="multilevel"/>
    <w:tmpl w:val="09F8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5B504F0"/>
    <w:multiLevelType w:val="hybridMultilevel"/>
    <w:tmpl w:val="EFD0BD80"/>
    <w:lvl w:ilvl="0" w:tplc="9776F6D6">
      <w:start w:val="1"/>
      <w:numFmt w:val="bullet"/>
      <w:pStyle w:val="Checkboxemptybulletpoint"/>
      <w:lvlText w:val=""/>
      <w:lvlJc w:val="left"/>
      <w:pPr>
        <w:ind w:left="927"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16"/>
  </w:num>
  <w:num w:numId="4">
    <w:abstractNumId w:val="2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20"/>
  </w:num>
  <w:num w:numId="17">
    <w:abstractNumId w:val="22"/>
  </w:num>
  <w:num w:numId="18">
    <w:abstractNumId w:val="14"/>
  </w:num>
  <w:num w:numId="19">
    <w:abstractNumId w:val="22"/>
  </w:num>
  <w:num w:numId="20">
    <w:abstractNumId w:val="15"/>
  </w:num>
  <w:num w:numId="21">
    <w:abstractNumId w:val="13"/>
  </w:num>
  <w:num w:numId="22">
    <w:abstractNumId w:val="10"/>
  </w:num>
  <w:num w:numId="23">
    <w:abstractNumId w:val="11"/>
  </w:num>
  <w:num w:numId="24">
    <w:abstractNumId w:val="17"/>
  </w:num>
  <w:num w:numId="25">
    <w:abstractNumId w:val="18"/>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C58"/>
    <w:rsid w:val="00002470"/>
    <w:rsid w:val="00004BCB"/>
    <w:rsid w:val="000249BC"/>
    <w:rsid w:val="00040663"/>
    <w:rsid w:val="0005537D"/>
    <w:rsid w:val="000737F0"/>
    <w:rsid w:val="00076137"/>
    <w:rsid w:val="00082947"/>
    <w:rsid w:val="00091649"/>
    <w:rsid w:val="000B5A15"/>
    <w:rsid w:val="000C49E1"/>
    <w:rsid w:val="000C5097"/>
    <w:rsid w:val="000C6CF8"/>
    <w:rsid w:val="000E1A93"/>
    <w:rsid w:val="0010018F"/>
    <w:rsid w:val="00105FF0"/>
    <w:rsid w:val="00130795"/>
    <w:rsid w:val="001549DB"/>
    <w:rsid w:val="00155ABE"/>
    <w:rsid w:val="00172AE2"/>
    <w:rsid w:val="00183353"/>
    <w:rsid w:val="0019770B"/>
    <w:rsid w:val="001B20EE"/>
    <w:rsid w:val="001C2FC6"/>
    <w:rsid w:val="001D5C73"/>
    <w:rsid w:val="001E092A"/>
    <w:rsid w:val="001E4275"/>
    <w:rsid w:val="001F2A29"/>
    <w:rsid w:val="001F3924"/>
    <w:rsid w:val="00217F7E"/>
    <w:rsid w:val="00263527"/>
    <w:rsid w:val="00272104"/>
    <w:rsid w:val="00285881"/>
    <w:rsid w:val="00297528"/>
    <w:rsid w:val="002D4AE3"/>
    <w:rsid w:val="002F7D26"/>
    <w:rsid w:val="00311452"/>
    <w:rsid w:val="00317800"/>
    <w:rsid w:val="00333144"/>
    <w:rsid w:val="003509FE"/>
    <w:rsid w:val="003862ED"/>
    <w:rsid w:val="00391A40"/>
    <w:rsid w:val="003962E5"/>
    <w:rsid w:val="00396C31"/>
    <w:rsid w:val="003A5098"/>
    <w:rsid w:val="003C4D98"/>
    <w:rsid w:val="003F0A2D"/>
    <w:rsid w:val="003F395C"/>
    <w:rsid w:val="0040012A"/>
    <w:rsid w:val="0040622C"/>
    <w:rsid w:val="00415AEC"/>
    <w:rsid w:val="0042210F"/>
    <w:rsid w:val="00442F16"/>
    <w:rsid w:val="00446A74"/>
    <w:rsid w:val="0045434B"/>
    <w:rsid w:val="0047258C"/>
    <w:rsid w:val="00473EFB"/>
    <w:rsid w:val="00497620"/>
    <w:rsid w:val="004B613D"/>
    <w:rsid w:val="004C1A21"/>
    <w:rsid w:val="004D43E6"/>
    <w:rsid w:val="004F3ABB"/>
    <w:rsid w:val="004F3C4E"/>
    <w:rsid w:val="00501F28"/>
    <w:rsid w:val="00507E41"/>
    <w:rsid w:val="005136A8"/>
    <w:rsid w:val="00513D65"/>
    <w:rsid w:val="00535ADA"/>
    <w:rsid w:val="005427E1"/>
    <w:rsid w:val="00556638"/>
    <w:rsid w:val="00567FAF"/>
    <w:rsid w:val="00572188"/>
    <w:rsid w:val="00586433"/>
    <w:rsid w:val="00595EB4"/>
    <w:rsid w:val="005B5C58"/>
    <w:rsid w:val="005C2DE6"/>
    <w:rsid w:val="005F08D5"/>
    <w:rsid w:val="00606BE5"/>
    <w:rsid w:val="006172BD"/>
    <w:rsid w:val="0062352E"/>
    <w:rsid w:val="00627E0B"/>
    <w:rsid w:val="00641088"/>
    <w:rsid w:val="0064771D"/>
    <w:rsid w:val="006A19A2"/>
    <w:rsid w:val="006B2EAF"/>
    <w:rsid w:val="006B3774"/>
    <w:rsid w:val="006D014F"/>
    <w:rsid w:val="006E4B2E"/>
    <w:rsid w:val="006F05E9"/>
    <w:rsid w:val="006F496D"/>
    <w:rsid w:val="00704775"/>
    <w:rsid w:val="007215CC"/>
    <w:rsid w:val="007350C9"/>
    <w:rsid w:val="00735CD8"/>
    <w:rsid w:val="0074087B"/>
    <w:rsid w:val="00745588"/>
    <w:rsid w:val="0074640B"/>
    <w:rsid w:val="00774D98"/>
    <w:rsid w:val="00774F8D"/>
    <w:rsid w:val="007B2B89"/>
    <w:rsid w:val="007C0935"/>
    <w:rsid w:val="00815DD0"/>
    <w:rsid w:val="00831C0B"/>
    <w:rsid w:val="00832492"/>
    <w:rsid w:val="00842D77"/>
    <w:rsid w:val="0084327C"/>
    <w:rsid w:val="0084603E"/>
    <w:rsid w:val="00852E5C"/>
    <w:rsid w:val="00853419"/>
    <w:rsid w:val="0086207C"/>
    <w:rsid w:val="00867448"/>
    <w:rsid w:val="00874F74"/>
    <w:rsid w:val="008A312B"/>
    <w:rsid w:val="008C6C53"/>
    <w:rsid w:val="008E6C8E"/>
    <w:rsid w:val="009049EB"/>
    <w:rsid w:val="009165DC"/>
    <w:rsid w:val="009221A3"/>
    <w:rsid w:val="009233AE"/>
    <w:rsid w:val="00933ABA"/>
    <w:rsid w:val="009423B0"/>
    <w:rsid w:val="0095453A"/>
    <w:rsid w:val="009A56D0"/>
    <w:rsid w:val="009B7D0A"/>
    <w:rsid w:val="009D4F6F"/>
    <w:rsid w:val="00A34162"/>
    <w:rsid w:val="00A35060"/>
    <w:rsid w:val="00A625B3"/>
    <w:rsid w:val="00A64BAF"/>
    <w:rsid w:val="00A669A1"/>
    <w:rsid w:val="00A7176A"/>
    <w:rsid w:val="00A90390"/>
    <w:rsid w:val="00AA0632"/>
    <w:rsid w:val="00AA417D"/>
    <w:rsid w:val="00AB6E00"/>
    <w:rsid w:val="00AF277C"/>
    <w:rsid w:val="00AF79F3"/>
    <w:rsid w:val="00B07599"/>
    <w:rsid w:val="00B25DA3"/>
    <w:rsid w:val="00B370BC"/>
    <w:rsid w:val="00B54151"/>
    <w:rsid w:val="00B72C06"/>
    <w:rsid w:val="00BC7904"/>
    <w:rsid w:val="00BD3D91"/>
    <w:rsid w:val="00C302BA"/>
    <w:rsid w:val="00C61D2E"/>
    <w:rsid w:val="00C7081C"/>
    <w:rsid w:val="00C82598"/>
    <w:rsid w:val="00C9165D"/>
    <w:rsid w:val="00C97AC9"/>
    <w:rsid w:val="00CE78A0"/>
    <w:rsid w:val="00D01548"/>
    <w:rsid w:val="00D122D3"/>
    <w:rsid w:val="00D24D05"/>
    <w:rsid w:val="00D5051D"/>
    <w:rsid w:val="00D665DB"/>
    <w:rsid w:val="00DB095A"/>
    <w:rsid w:val="00DB7E30"/>
    <w:rsid w:val="00DD2ACC"/>
    <w:rsid w:val="00DD4718"/>
    <w:rsid w:val="00DF6236"/>
    <w:rsid w:val="00E22ED0"/>
    <w:rsid w:val="00E240F8"/>
    <w:rsid w:val="00E541EC"/>
    <w:rsid w:val="00E9625C"/>
    <w:rsid w:val="00EA30E0"/>
    <w:rsid w:val="00ED2F6E"/>
    <w:rsid w:val="00EE671A"/>
    <w:rsid w:val="00F017BF"/>
    <w:rsid w:val="00F36090"/>
    <w:rsid w:val="00F41896"/>
    <w:rsid w:val="00F443BC"/>
    <w:rsid w:val="00F729AE"/>
    <w:rsid w:val="00F740EB"/>
    <w:rsid w:val="00F83A93"/>
    <w:rsid w:val="00F977DF"/>
    <w:rsid w:val="00FA414F"/>
    <w:rsid w:val="00FA4A47"/>
    <w:rsid w:val="00FA5E97"/>
    <w:rsid w:val="00FB4064"/>
    <w:rsid w:val="00FC1C2F"/>
    <w:rsid w:val="00FF180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285102F"/>
  <w15:chartTrackingRefBased/>
  <w15:docId w15:val="{F69AD2EC-9572-45E9-A446-9F4A4048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F8D"/>
    <w:pPr>
      <w:spacing w:after="240" w:line="240" w:lineRule="auto"/>
    </w:pPr>
  </w:style>
  <w:style w:type="paragraph" w:styleId="Heading1">
    <w:name w:val="heading 1"/>
    <w:basedOn w:val="Normal"/>
    <w:next w:val="Normal"/>
    <w:link w:val="Heading1Char"/>
    <w:uiPriority w:val="9"/>
    <w:qFormat/>
    <w:rsid w:val="00C61D2E"/>
    <w:pPr>
      <w:keepNext/>
      <w:spacing w:before="3000"/>
      <w:outlineLvl w:val="0"/>
    </w:pPr>
    <w:rPr>
      <w:rFonts w:asciiTheme="majorHAnsi" w:eastAsiaTheme="majorEastAsia" w:hAnsiTheme="majorHAnsi" w:cstheme="majorBidi"/>
      <w:b/>
      <w:color w:val="07478C"/>
      <w:sz w:val="48"/>
      <w:szCs w:val="32"/>
    </w:rPr>
  </w:style>
  <w:style w:type="paragraph" w:styleId="Heading2">
    <w:name w:val="heading 2"/>
    <w:basedOn w:val="Normal"/>
    <w:next w:val="Normal"/>
    <w:link w:val="Heading2Char"/>
    <w:uiPriority w:val="9"/>
    <w:unhideWhenUsed/>
    <w:qFormat/>
    <w:rsid w:val="0010018F"/>
    <w:pPr>
      <w:keepNext/>
      <w:outlineLvl w:val="1"/>
    </w:pPr>
    <w:rPr>
      <w:rFonts w:asciiTheme="majorHAnsi" w:eastAsiaTheme="majorEastAsia" w:hAnsiTheme="majorHAnsi" w:cstheme="majorBidi"/>
      <w:b/>
      <w:color w:val="07478C"/>
      <w:sz w:val="32"/>
      <w:szCs w:val="26"/>
    </w:rPr>
  </w:style>
  <w:style w:type="paragraph" w:styleId="Heading3">
    <w:name w:val="heading 3"/>
    <w:basedOn w:val="Normal"/>
    <w:next w:val="Normal"/>
    <w:link w:val="Heading3Char"/>
    <w:uiPriority w:val="9"/>
    <w:unhideWhenUsed/>
    <w:qFormat/>
    <w:rsid w:val="0010018F"/>
    <w:pPr>
      <w:keepNext/>
      <w:spacing w:before="120" w:after="120"/>
      <w:outlineLvl w:val="2"/>
    </w:pPr>
    <w:rPr>
      <w:rFonts w:asciiTheme="majorHAnsi" w:eastAsiaTheme="majorEastAsia" w:hAnsiTheme="majorHAnsi" w:cstheme="majorBidi"/>
      <w:b/>
      <w:color w:val="07478C"/>
      <w:sz w:val="26"/>
      <w:szCs w:val="24"/>
    </w:rPr>
  </w:style>
  <w:style w:type="paragraph" w:styleId="Heading4">
    <w:name w:val="heading 4"/>
    <w:basedOn w:val="Normal"/>
    <w:next w:val="Normal"/>
    <w:link w:val="Heading4Char"/>
    <w:uiPriority w:val="9"/>
    <w:unhideWhenUsed/>
    <w:qFormat/>
    <w:rsid w:val="0047258C"/>
    <w:pPr>
      <w:keepNext/>
      <w:spacing w:before="120"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semiHidden/>
    <w:unhideWhenUsed/>
    <w:qFormat/>
    <w:rsid w:val="009A56D0"/>
    <w:pPr>
      <w:keepNext/>
      <w:spacing w:after="60"/>
      <w:outlineLvl w:val="4"/>
    </w:pPr>
    <w:rPr>
      <w:rFonts w:asciiTheme="majorHAnsi" w:eastAsiaTheme="majorEastAsia" w:hAnsiTheme="majorHAnsi" w:cstheme="majorBidi"/>
      <w:color w:val="07478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D2E"/>
    <w:rPr>
      <w:rFonts w:asciiTheme="majorHAnsi" w:eastAsiaTheme="majorEastAsia" w:hAnsiTheme="majorHAnsi" w:cstheme="majorBidi"/>
      <w:b/>
      <w:color w:val="07478C"/>
      <w:sz w:val="48"/>
      <w:szCs w:val="32"/>
    </w:rPr>
  </w:style>
  <w:style w:type="character" w:customStyle="1" w:styleId="Heading2Char">
    <w:name w:val="Heading 2 Char"/>
    <w:basedOn w:val="DefaultParagraphFont"/>
    <w:link w:val="Heading2"/>
    <w:uiPriority w:val="9"/>
    <w:rsid w:val="0010018F"/>
    <w:rPr>
      <w:rFonts w:asciiTheme="majorHAnsi" w:eastAsiaTheme="majorEastAsia" w:hAnsiTheme="majorHAnsi" w:cstheme="majorBidi"/>
      <w:b/>
      <w:color w:val="07478C"/>
      <w:sz w:val="32"/>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10018F"/>
    <w:rPr>
      <w:rFonts w:asciiTheme="majorHAnsi" w:eastAsiaTheme="majorEastAsia" w:hAnsiTheme="majorHAnsi" w:cstheme="majorBidi"/>
      <w:b/>
      <w:color w:val="07478C"/>
      <w:sz w:val="26"/>
      <w:szCs w:val="24"/>
    </w:rPr>
  </w:style>
  <w:style w:type="paragraph" w:customStyle="1" w:styleId="Bulletlevel1">
    <w:name w:val="Bullet level 1"/>
    <w:basedOn w:val="Normal"/>
    <w:qFormat/>
    <w:rsid w:val="003F0A2D"/>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47258C"/>
    <w:rPr>
      <w:rFonts w:asciiTheme="majorHAnsi" w:eastAsiaTheme="majorEastAsia" w:hAnsiTheme="majorHAnsi" w:cstheme="majorBidi"/>
      <w:b/>
      <w:iCs/>
      <w:color w:val="07478C"/>
      <w:sz w:val="24"/>
    </w:rPr>
  </w:style>
  <w:style w:type="table" w:styleId="TableGrid">
    <w:name w:val="Table Grid"/>
    <w:basedOn w:val="TableNormal"/>
    <w:uiPriority w:val="5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606BE5"/>
    <w:pPr>
      <w:keepNext/>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FA414F"/>
    <w:pPr>
      <w:spacing w:after="0"/>
      <w:ind w:left="1134"/>
    </w:pPr>
  </w:style>
  <w:style w:type="paragraph" w:customStyle="1" w:styleId="Tableheading">
    <w:name w:val="Table heading"/>
    <w:basedOn w:val="Normal"/>
    <w:next w:val="Normal"/>
    <w:rsid w:val="00B370BC"/>
    <w:pPr>
      <w:spacing w:after="0"/>
    </w:pPr>
    <w:rPr>
      <w:rFonts w:eastAsia="Times New Roman" w:cs="Times New Roman"/>
      <w:b/>
      <w:bCs/>
      <w:szCs w:val="20"/>
    </w:rPr>
  </w:style>
  <w:style w:type="paragraph" w:customStyle="1" w:styleId="Tableheadingcentred">
    <w:name w:val="Table heading centred"/>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uiPriority w:val="1"/>
    <w:qFormat/>
    <w:rsid w:val="00B370BC"/>
    <w:pPr>
      <w:spacing w:after="0" w:line="240" w:lineRule="auto"/>
    </w:pPr>
  </w:style>
  <w:style w:type="character" w:customStyle="1" w:styleId="Heading5Char">
    <w:name w:val="Heading 5 Char"/>
    <w:basedOn w:val="DefaultParagraphFont"/>
    <w:link w:val="Heading5"/>
    <w:uiPriority w:val="9"/>
    <w:semiHidden/>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815DD0"/>
    <w:pPr>
      <w:spacing w:before="120"/>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47258C"/>
    <w:pPr>
      <w:spacing w:before="120" w:after="120"/>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F3C4E"/>
    <w:pPr>
      <w:numPr>
        <w:numId w:val="16"/>
      </w:numPr>
      <w:spacing w:before="240" w:after="0"/>
      <w:ind w:left="567" w:hanging="567"/>
    </w:pPr>
  </w:style>
  <w:style w:type="paragraph" w:customStyle="1" w:styleId="Checkboxemptybulletpoint">
    <w:name w:val="Check box empty bullet point"/>
    <w:basedOn w:val="Bulletlevel1"/>
    <w:qFormat/>
    <w:rsid w:val="004F3C4E"/>
    <w:pPr>
      <w:numPr>
        <w:numId w:val="17"/>
      </w:numPr>
      <w:spacing w:after="0"/>
      <w:ind w:left="397" w:hanging="397"/>
    </w:pPr>
  </w:style>
  <w:style w:type="paragraph" w:customStyle="1" w:styleId="StyleHeading3Before12pt">
    <w:name w:val="Style Heading 3 + Before:  12 pt"/>
    <w:basedOn w:val="Heading3"/>
    <w:rsid w:val="00815DD0"/>
    <w:rPr>
      <w:rFonts w:eastAsia="Times New Roman" w:cs="Times New Roman"/>
      <w:bCs/>
      <w:szCs w:val="20"/>
    </w:rPr>
  </w:style>
  <w:style w:type="paragraph" w:styleId="Title">
    <w:name w:val="Title"/>
    <w:basedOn w:val="Normal"/>
    <w:next w:val="Normal"/>
    <w:link w:val="TitleChar"/>
    <w:uiPriority w:val="10"/>
    <w:qFormat/>
    <w:rsid w:val="005B5C58"/>
    <w:pPr>
      <w:spacing w:after="0"/>
      <w:contextualSpacing/>
    </w:pPr>
    <w:rPr>
      <w:rFonts w:asciiTheme="majorHAnsi" w:eastAsiaTheme="majorEastAsia" w:hAnsiTheme="majorHAnsi" w:cstheme="majorBidi"/>
      <w:spacing w:val="-10"/>
      <w:kern w:val="28"/>
      <w:sz w:val="56"/>
      <w:szCs w:val="56"/>
      <w:lang w:eastAsia="en-AU"/>
    </w:rPr>
  </w:style>
  <w:style w:type="character" w:customStyle="1" w:styleId="TitleChar">
    <w:name w:val="Title Char"/>
    <w:basedOn w:val="DefaultParagraphFont"/>
    <w:link w:val="Title"/>
    <w:uiPriority w:val="10"/>
    <w:rsid w:val="005B5C58"/>
    <w:rPr>
      <w:rFonts w:asciiTheme="majorHAnsi" w:eastAsiaTheme="majorEastAsia" w:hAnsiTheme="majorHAnsi" w:cstheme="majorBidi"/>
      <w:spacing w:val="-10"/>
      <w:kern w:val="28"/>
      <w:sz w:val="56"/>
      <w:szCs w:val="56"/>
      <w:lang w:eastAsia="en-AU"/>
    </w:rPr>
  </w:style>
  <w:style w:type="paragraph" w:styleId="Caption">
    <w:name w:val="caption"/>
    <w:basedOn w:val="Normal"/>
    <w:next w:val="Normal"/>
    <w:qFormat/>
    <w:rsid w:val="005B5C58"/>
    <w:pPr>
      <w:shd w:val="clear" w:color="auto" w:fill="FFFFFF"/>
      <w:spacing w:before="240" w:after="100"/>
      <w:ind w:right="450"/>
      <w:outlineLvl w:val="1"/>
    </w:pPr>
    <w:rPr>
      <w:rFonts w:ascii="Verdana" w:eastAsia="Times New Roman" w:hAnsi="Verdana" w:cs="Verdana"/>
      <w:b/>
      <w:bCs/>
      <w:color w:val="000000"/>
      <w:sz w:val="20"/>
      <w:szCs w:val="20"/>
      <w:lang w:eastAsia="en-AU"/>
    </w:rPr>
  </w:style>
  <w:style w:type="paragraph" w:customStyle="1" w:styleId="ExariBodyLeft11">
    <w:name w:val="Exari Body Left 11"/>
    <w:basedOn w:val="Normal"/>
    <w:link w:val="ExariBodyLeft11Char"/>
    <w:uiPriority w:val="99"/>
    <w:rsid w:val="005B5C58"/>
    <w:pPr>
      <w:tabs>
        <w:tab w:val="left" w:pos="576"/>
        <w:tab w:val="left" w:pos="1296"/>
        <w:tab w:val="left" w:pos="2016"/>
      </w:tabs>
      <w:spacing w:before="120"/>
    </w:pPr>
    <w:rPr>
      <w:rFonts w:ascii="Arial" w:eastAsia="Times New Roman" w:hAnsi="Arial" w:cs="Times New Roman"/>
      <w:bCs/>
      <w:sz w:val="24"/>
      <w:szCs w:val="24"/>
      <w:lang w:val="en-GB" w:eastAsia="en-AU"/>
    </w:rPr>
  </w:style>
  <w:style w:type="character" w:customStyle="1" w:styleId="ExariBodyLeft11Char">
    <w:name w:val="Exari Body Left 11 Char"/>
    <w:basedOn w:val="DefaultParagraphFont"/>
    <w:link w:val="ExariBodyLeft11"/>
    <w:uiPriority w:val="99"/>
    <w:locked/>
    <w:rsid w:val="005B5C58"/>
    <w:rPr>
      <w:rFonts w:ascii="Arial" w:eastAsia="Times New Roman" w:hAnsi="Arial" w:cs="Times New Roman"/>
      <w:bCs/>
      <w:sz w:val="24"/>
      <w:szCs w:val="24"/>
      <w:lang w:val="en-GB" w:eastAsia="en-AU"/>
    </w:rPr>
  </w:style>
  <w:style w:type="character" w:customStyle="1" w:styleId="Bold">
    <w:name w:val="Bold"/>
    <w:basedOn w:val="DefaultParagraphFont"/>
    <w:uiPriority w:val="99"/>
    <w:rsid w:val="005B5C58"/>
    <w:rPr>
      <w:rFonts w:cs="Times New Roman"/>
      <w:b/>
      <w:bCs/>
      <w:color w:val="auto"/>
    </w:rPr>
  </w:style>
  <w:style w:type="character" w:styleId="Strong">
    <w:name w:val="Strong"/>
    <w:basedOn w:val="DefaultParagraphFont"/>
    <w:uiPriority w:val="22"/>
    <w:qFormat/>
    <w:rsid w:val="005B5C58"/>
    <w:rPr>
      <w:b/>
      <w:bCs/>
    </w:rPr>
  </w:style>
  <w:style w:type="paragraph" w:customStyle="1" w:styleId="NRSrptBodyText">
    <w:name w:val="NRS rpt Body Text"/>
    <w:basedOn w:val="Normal"/>
    <w:link w:val="NRSrptBodyTextChar"/>
    <w:autoRedefine/>
    <w:uiPriority w:val="99"/>
    <w:qFormat/>
    <w:rsid w:val="005B5C58"/>
    <w:pPr>
      <w:spacing w:before="120" w:after="120" w:line="300" w:lineRule="exact"/>
    </w:pPr>
    <w:rPr>
      <w:rFonts w:eastAsiaTheme="minorEastAsia"/>
      <w:szCs w:val="24"/>
      <w:lang w:eastAsia="en-AU"/>
    </w:rPr>
  </w:style>
  <w:style w:type="character" w:customStyle="1" w:styleId="NRSrptBodyTextChar">
    <w:name w:val="NRS rpt Body Text Char"/>
    <w:basedOn w:val="DefaultParagraphFont"/>
    <w:link w:val="NRSrptBodyText"/>
    <w:uiPriority w:val="99"/>
    <w:rsid w:val="005B5C58"/>
    <w:rPr>
      <w:rFonts w:eastAsiaTheme="minorEastAsia"/>
      <w:szCs w:val="24"/>
      <w:lang w:eastAsia="en-AU"/>
    </w:rPr>
  </w:style>
  <w:style w:type="paragraph" w:customStyle="1" w:styleId="Default">
    <w:name w:val="Default"/>
    <w:rsid w:val="005B5C58"/>
    <w:pPr>
      <w:autoSpaceDE w:val="0"/>
      <w:autoSpaceDN w:val="0"/>
      <w:adjustRightInd w:val="0"/>
      <w:spacing w:after="0" w:line="240" w:lineRule="auto"/>
    </w:pPr>
    <w:rPr>
      <w:rFonts w:ascii="Calibri" w:hAnsi="Calibri" w:cs="Calibri"/>
      <w:color w:val="000000"/>
      <w:sz w:val="24"/>
      <w:szCs w:val="24"/>
    </w:rPr>
  </w:style>
  <w:style w:type="paragraph" w:customStyle="1" w:styleId="footnote">
    <w:name w:val="footnote"/>
    <w:basedOn w:val="FootnoteText"/>
    <w:link w:val="footnoteChar"/>
    <w:qFormat/>
    <w:rsid w:val="005B5C58"/>
    <w:rPr>
      <w:rFonts w:ascii="Times New Roman" w:eastAsia="Times New Roman" w:hAnsi="Times New Roman" w:cs="Times New Roman"/>
      <w:i/>
      <w:lang w:eastAsia="en-AU"/>
    </w:rPr>
  </w:style>
  <w:style w:type="character" w:customStyle="1" w:styleId="footnoteChar">
    <w:name w:val="footnote Char"/>
    <w:basedOn w:val="FootnoteTextChar"/>
    <w:link w:val="footnote"/>
    <w:rsid w:val="005B5C58"/>
    <w:rPr>
      <w:rFonts w:ascii="Times New Roman" w:eastAsia="Times New Roman" w:hAnsi="Times New Roman" w:cs="Times New Roman"/>
      <w:i/>
      <w:sz w:val="20"/>
      <w:szCs w:val="20"/>
      <w:lang w:eastAsia="en-AU"/>
    </w:rPr>
  </w:style>
  <w:style w:type="paragraph" w:styleId="BalloonText">
    <w:name w:val="Balloon Text"/>
    <w:basedOn w:val="Normal"/>
    <w:link w:val="BalloonTextChar"/>
    <w:uiPriority w:val="99"/>
    <w:semiHidden/>
    <w:unhideWhenUsed/>
    <w:rsid w:val="00B0759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5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596520184">
      <w:bodyDiv w:val="1"/>
      <w:marLeft w:val="0"/>
      <w:marRight w:val="0"/>
      <w:marTop w:val="0"/>
      <w:marBottom w:val="0"/>
      <w:divBdr>
        <w:top w:val="none" w:sz="0" w:space="0" w:color="auto"/>
        <w:left w:val="none" w:sz="0" w:space="0" w:color="auto"/>
        <w:bottom w:val="none" w:sz="0" w:space="0" w:color="auto"/>
        <w:right w:val="none" w:sz="0" w:space="0" w:color="auto"/>
      </w:divBdr>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3010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rimRootDocument" ma:contentTypeID="0x010100407620DDFF47524F86BCF55EDD3946430067FED88DFCBC1941A97F8D37305BC410" ma:contentTypeVersion="5" ma:contentTypeDescription="This content type is the root content type of all trim record types with behaviour as Document" ma:contentTypeScope="" ma:versionID="68936cf2ec15f9460db151fa675869a0">
  <xsd:schema xmlns:xsd="http://www.w3.org/2001/XMLSchema" xmlns:xs="http://www.w3.org/2001/XMLSchema" xmlns:p="http://schemas.microsoft.com/office/2006/metadata/properties" xmlns:ns2="4597da67-68a3-4e9d-8803-ba3e1787ab6c" targetNamespace="http://schemas.microsoft.com/office/2006/metadata/properties" ma:root="true" ma:fieldsID="3eebb09dbc625f57189c5121741f900f"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dd9c7627a75f4720a6ccce58a35e4d75" minOccurs="0"/>
                <xsd:element ref="ns2:TaxCatchAll" minOccurs="0"/>
                <xsd:element ref="ns2:TaxCatchAllLabel" minOccurs="0"/>
                <xsd:element ref="ns2:trimRootDocACLCanViewMetadata" minOccurs="0"/>
                <xsd:element ref="ns2:hab31d4ae2264d5c8e77fd86c07e7635" minOccurs="0"/>
                <xsd:element ref="ns2:trimRootDocACLCanUpdateDocument" minOccurs="0"/>
                <xsd:element ref="ns2:c1aa94c1bcce43cc9138ccb9c7bf6e69" minOccurs="0"/>
                <xsd:element ref="ns2:trimRootDocACLCanUpdateMetadata" minOccurs="0"/>
                <xsd:element ref="ns2:e65fcc6ef396426b9c231bd6b3bc54de" minOccurs="0"/>
                <xsd:element ref="ns2:trimRootDocACLCanContributeDocuments" minOccurs="0"/>
                <xsd:element ref="ns2:l30152c64bc5409cb0d6af5fc7998329" minOccurs="0"/>
                <xsd:element ref="ns2:trimRootDocACLCanModifyAccess" minOccurs="0"/>
                <xsd:element ref="ns2:ie56bdfdc4a44ef997c05b4ed8c67594" minOccurs="0"/>
                <xsd:element ref="ns2:trimRootDocNotes" minOccurs="0"/>
                <xsd:element ref="ns2:me786d0e3c9949dc83d6a9826d3f7afb" minOccurs="0"/>
                <xsd:element ref="ns2:e74c999a0f514bafbaad1ae53c56eac2" minOccurs="0"/>
                <xsd:element ref="ns2:l7f7762656034748af4098221ba10b64" minOccurs="0"/>
                <xsd:element ref="ns2:a26f7cb41fae41ebb6c8e377b7c30d7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8" nillable="true" ma:displayName="URI" ma:hidden="true" ma:internalName="trimRootDocURI" ma:readOnly="false">
      <xsd:simpleType>
        <xsd:restriction base="dms:Text">
          <xsd:maxLength value="255"/>
        </xsd:restriction>
      </xsd:simpleType>
    </xsd:element>
    <xsd:element name="trimRootDocParentURI" ma:index="9" nillable="true" ma:displayName="Parent URI" ma:internalName="trimRootDocParentURI">
      <xsd:simpleType>
        <xsd:restriction base="dms:Number"/>
      </xsd:simpleType>
    </xsd:element>
    <xsd:element name="trimRootDocSecurityLevel" ma:index="10" nillable="true" ma:displayName="Security Level" ma:default="For Official Use Only" ma:format="Dropdown" ma:internalName="trimRootDocSecurityLevel">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11" nillable="true" ma:displayName="Security Caveats" ma:default="Departmental Staff" ma:internalName="trimRootDocSecurityCaveats">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12" nillable="true" ma:displayName="Can View Document" ma:format="RadioButtons" ma:internalName="trimRootDocACLCanViewDocument">
      <xsd:simpleType>
        <xsd:restriction base="dms:Choice">
          <xsd:enumeration value="Inherit"/>
          <xsd:enumeration value="Everyone"/>
          <xsd:enumeration value="Custom"/>
        </xsd:restriction>
      </xsd:simpleType>
    </xsd:element>
    <xsd:element name="dd9c7627a75f4720a6ccce58a35e4d75" ma:index="13" nillable="true" ma:taxonomy="true" ma:internalName="dd9c7627a75f4720a6ccce58a35e4d75" ma:taxonomyFieldName="trimRootDocACLCanViewDocument_List" ma:displayName="Can View Document List"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rimRootDocACLCanViewMetadata" ma:index="17" nillable="true" ma:displayName="Can View Metadata" ma:format="RadioButtons" ma:internalName="trimRootDocACLCanViewMetadata">
      <xsd:simpleType>
        <xsd:restriction base="dms:Choice">
          <xsd:enumeration value="Inherit"/>
          <xsd:enumeration value="Everyone"/>
          <xsd:enumeration value="Custom"/>
        </xsd:restriction>
      </xsd:simpleType>
    </xsd:element>
    <xsd:element name="hab31d4ae2264d5c8e77fd86c07e7635" ma:index="18" nillable="true" ma:taxonomy="true" ma:internalName="hab31d4ae2264d5c8e77fd86c07e7635" ma:taxonomyFieldName="trimRootDocACLCanViewMetadata_List" ma:displayName="Can View Metadata List"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Document" ma:index="20" nillable="true" ma:displayName="Can Update Document" ma:format="RadioButtons" ma:internalName="trimRootDocACLCanUpdateDocument">
      <xsd:simpleType>
        <xsd:restriction base="dms:Choice">
          <xsd:enumeration value="Inherit"/>
          <xsd:enumeration value="Everyone"/>
          <xsd:enumeration value="Custom"/>
        </xsd:restriction>
      </xsd:simpleType>
    </xsd:element>
    <xsd:element name="c1aa94c1bcce43cc9138ccb9c7bf6e69" ma:index="21" nillable="true" ma:taxonomy="true" ma:internalName="c1aa94c1bcce43cc9138ccb9c7bf6e69" ma:taxonomyFieldName="trimRootDocACLCanUpdateDocument_List" ma:displayName="Can Update Document List"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Metadata" ma:index="23" nillable="true" ma:displayName="Can Update Metadata" ma:format="RadioButtons" ma:internalName="trimRootDocACLCanUpdateMetadata">
      <xsd:simpleType>
        <xsd:restriction base="dms:Choice">
          <xsd:enumeration value="Inherit"/>
          <xsd:enumeration value="Everyone"/>
          <xsd:enumeration value="Custom"/>
        </xsd:restriction>
      </xsd:simpleType>
    </xsd:element>
    <xsd:element name="e65fcc6ef396426b9c231bd6b3bc54de" ma:index="24" nillable="true" ma:taxonomy="true" ma:internalName="e65fcc6ef396426b9c231bd6b3bc54de" ma:taxonomyFieldName="trimRootDocACLCanUpdateMetadata_List" ma:displayName="Can Update Metadata List"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ModifyAccess" ma:index="29" nillable="true" ma:displayName="Can Modify Access" ma:format="RadioButtons" ma:internalName="trimRootDocACLCanModifyAccess">
      <xsd:simpleType>
        <xsd:restriction base="dms:Choice">
          <xsd:enumeration value="Inherit"/>
          <xsd:enumeration value="Everyone"/>
          <xsd:enumeration value="Custom"/>
        </xsd:restriction>
      </xsd:simpleType>
    </xsd:element>
    <xsd:element name="ie56bdfdc4a44ef997c05b4ed8c67594" ma:index="30" nillable="true" ma:taxonomy="true" ma:internalName="ie56bdfdc4a44ef997c05b4ed8c67594" ma:taxonomyFieldName="trimRootDocACLCanModifyAccess_List" ma:displayName="Can Modify Access List"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Notes" ma:index="32" nillable="true" ma:displayName="Notes" ma:internalName="trimRootDocNotes">
      <xsd:simpleType>
        <xsd:restriction base="dms:Note"/>
      </xsd:simpleType>
    </xsd:element>
    <xsd:element name="me786d0e3c9949dc83d6a9826d3f7afb" ma:index="33" nillable="true" ma:taxonomy="true" ma:internalName="me786d0e3c9949dc83d6a9826d3f7afb" ma:taxonomyFieldName="trimRootDocOwnerLocation" ma:displayName="Owner"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97da67-68a3-4e9d-8803-ba3e1787ab6c"/>
    <e65fcc6ef396426b9c231bd6b3bc54de xmlns="4597da67-68a3-4e9d-8803-ba3e1787ab6c">
      <Terms xmlns="http://schemas.microsoft.com/office/infopath/2007/PartnerControls"/>
    </e65fcc6ef396426b9c231bd6b3bc54de>
    <me786d0e3c9949dc83d6a9826d3f7afb xmlns="4597da67-68a3-4e9d-8803-ba3e1787ab6c">
      <Terms xmlns="http://schemas.microsoft.com/office/infopath/2007/PartnerControls"/>
    </me786d0e3c9949dc83d6a9826d3f7afb>
    <trimRootDocACLCanUpdateDocument xmlns="4597da67-68a3-4e9d-8803-ba3e1787ab6c" xsi:nil="true"/>
    <l30152c64bc5409cb0d6af5fc7998329 xmlns="4597da67-68a3-4e9d-8803-ba3e1787ab6c">
      <Terms xmlns="http://schemas.microsoft.com/office/infopath/2007/PartnerControls"/>
    </l30152c64bc5409cb0d6af5fc7998329>
    <dd9c7627a75f4720a6ccce58a35e4d75 xmlns="4597da67-68a3-4e9d-8803-ba3e1787ab6c">
      <Terms xmlns="http://schemas.microsoft.com/office/infopath/2007/PartnerControls"/>
    </dd9c7627a75f4720a6ccce58a35e4d75>
    <hab31d4ae2264d5c8e77fd86c07e7635 xmlns="4597da67-68a3-4e9d-8803-ba3e1787ab6c">
      <Terms xmlns="http://schemas.microsoft.com/office/infopath/2007/PartnerControls"/>
    </hab31d4ae2264d5c8e77fd86c07e7635>
    <trimRootDocSecurityCaveats xmlns="4597da67-68a3-4e9d-8803-ba3e1787ab6c"/>
    <trimRootDocACLCanModifyAccess xmlns="4597da67-68a3-4e9d-8803-ba3e1787ab6c" xsi:nil="true"/>
    <e74c999a0f514bafbaad1ae53c56eac2 xmlns="4597da67-68a3-4e9d-8803-ba3e1787ab6c">
      <Terms xmlns="http://schemas.microsoft.com/office/infopath/2007/PartnerControls"/>
    </e74c999a0f514bafbaad1ae53c56eac2>
    <l7f7762656034748af4098221ba10b64 xmlns="4597da67-68a3-4e9d-8803-ba3e1787ab6c">
      <Terms xmlns="http://schemas.microsoft.com/office/infopath/2007/PartnerControls"/>
    </l7f7762656034748af4098221ba10b64>
    <a26f7cb41fae41ebb6c8e377b7c30d71 xmlns="4597da67-68a3-4e9d-8803-ba3e1787ab6c">
      <Terms xmlns="http://schemas.microsoft.com/office/infopath/2007/PartnerControls"/>
    </a26f7cb41fae41ebb6c8e377b7c30d71>
    <trimRootDocURI xmlns="4597da67-68a3-4e9d-8803-ba3e1787ab6c" xsi:nil="true"/>
    <trimRootDocNotes xmlns="4597da67-68a3-4e9d-8803-ba3e1787ab6c" xsi:nil="true"/>
    <trimRootDocACLCanContributeDocuments xmlns="4597da67-68a3-4e9d-8803-ba3e1787ab6c" xsi:nil="true"/>
    <ie56bdfdc4a44ef997c05b4ed8c67594 xmlns="4597da67-68a3-4e9d-8803-ba3e1787ab6c">
      <Terms xmlns="http://schemas.microsoft.com/office/infopath/2007/PartnerControls"/>
    </ie56bdfdc4a44ef997c05b4ed8c67594>
    <trimRootDocParentURI xmlns="4597da67-68a3-4e9d-8803-ba3e1787ab6c" xsi:nil="true"/>
    <trimRootDocACLCanUpdateMetadata xmlns="4597da67-68a3-4e9d-8803-ba3e1787ab6c" xsi:nil="true"/>
    <trimRootDocSecurityLevel xmlns="4597da67-68a3-4e9d-8803-ba3e1787ab6c" xsi:nil="true"/>
    <trimRootDocACLCanViewMetadata xmlns="4597da67-68a3-4e9d-8803-ba3e1787ab6c" xsi:nil="true"/>
    <trimRootDocACLCanViewDocument xmlns="4597da67-68a3-4e9d-8803-ba3e1787ab6c" xsi:nil="true"/>
    <c1aa94c1bcce43cc9138ccb9c7bf6e69 xmlns="4597da67-68a3-4e9d-8803-ba3e1787ab6c">
      <Terms xmlns="http://schemas.microsoft.com/office/infopath/2007/PartnerControls"/>
    </c1aa94c1bcce43cc9138ccb9c7bf6e69>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A09B7-2A54-4EFB-BF62-994ECCD01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AF60C5-5176-49FB-AB7A-95092674D393}">
  <ds:schemaRefs>
    <ds:schemaRef ds:uri="http://schemas.microsoft.com/sharepoint/v3/contenttype/forms"/>
  </ds:schemaRefs>
</ds:datastoreItem>
</file>

<file path=customXml/itemProps3.xml><?xml version="1.0" encoding="utf-8"?>
<ds:datastoreItem xmlns:ds="http://schemas.openxmlformats.org/officeDocument/2006/customXml" ds:itemID="{983B1B18-5CC7-4B34-A370-60767FA8009A}">
  <ds:schemaRefs>
    <ds:schemaRef ds:uri="http://purl.org/dc/term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purl.org/dc/elements/1.1/"/>
    <ds:schemaRef ds:uri="4597da67-68a3-4e9d-8803-ba3e1787ab6c"/>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ED73CDA-50F3-4B2A-B229-BD31E2A2F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1543</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National Relay Service—quarterly performance report</vt:lpstr>
    </vt:vector>
  </TitlesOfParts>
  <Company>Department of Communications</Company>
  <LinksUpToDate>false</LinksUpToDate>
  <CharactersWithSpaces>10319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Relay Service—quarterly performance report</dc:title>
  <dc:subject/>
  <dc:creator>Fox1, Dulcinea</dc:creator>
  <cp:keywords/>
  <dc:description/>
  <cp:lastModifiedBy>th</cp:lastModifiedBy>
  <cp:revision>4</cp:revision>
  <cp:lastPrinted>2017-01-05T00:40:00Z</cp:lastPrinted>
  <dcterms:created xsi:type="dcterms:W3CDTF">2017-01-05T00:39:00Z</dcterms:created>
  <dcterms:modified xsi:type="dcterms:W3CDTF">2017-01-05T00:49:00Z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0x010100407620DDFF47524F86BCF55EDD3946430067FED88DFCBC1941A97F8D37305BC410</vt:lpwstr>
  </property>
  <property fmtid="{D5CDD505-2E9C-101B-9397-08002B2CF9AE}" pid="3" name="TrimRevisionNumber">
    <vt:i4>10</vt:i4>
  </property>
  <property fmtid="{D5CDD505-2E9C-101B-9397-08002B2CF9AE}" pid="4" name="trimRootDocClassification">
    <vt:lpwstr/>
  </property>
  <property fmtid="{D5CDD505-2E9C-101B-9397-08002B2CF9AE}" pid="5" name="trimRootDocAssigneeLocation">
    <vt:lpwstr/>
  </property>
  <property fmtid="{D5CDD505-2E9C-101B-9397-08002B2CF9AE}" pid="6" name="trimRootDocOtherContactLocation">
    <vt:lpwstr/>
  </property>
  <property fmtid="{D5CDD505-2E9C-101B-9397-08002B2CF9AE}" pid="7" name="trimRootDocACLCanUpdateMetadata_List">
    <vt:lpwstr/>
  </property>
  <property fmtid="{D5CDD505-2E9C-101B-9397-08002B2CF9AE}" pid="8" name="trimRootDocACLCanModifyAccess_List">
    <vt:lpwstr/>
  </property>
  <property fmtid="{D5CDD505-2E9C-101B-9397-08002B2CF9AE}" pid="9" name="trimRootDocACLCanContributeDocuments_List">
    <vt:lpwstr/>
  </property>
  <property fmtid="{D5CDD505-2E9C-101B-9397-08002B2CF9AE}" pid="10" name="trimRootDocACLCanUpdateDocument_List">
    <vt:lpwstr/>
  </property>
  <property fmtid="{D5CDD505-2E9C-101B-9397-08002B2CF9AE}" pid="11" name="trimRootDocACLCanViewMetadata_List">
    <vt:lpwstr/>
  </property>
  <property fmtid="{D5CDD505-2E9C-101B-9397-08002B2CF9AE}" pid="12" name="trimRootDocACLCanViewDocument_List">
    <vt:lpwstr/>
  </property>
  <property fmtid="{D5CDD505-2E9C-101B-9397-08002B2CF9AE}" pid="13" name="trimRootDocOwnerLocation">
    <vt:lpwstr/>
  </property>
</Properties>
</file>