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1C76A7">
      <w:pPr>
        <w:ind w:left="-1418"/>
        <w:sectPr w:rsidR="0094124E" w:rsidSect="00EC6D35">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6A114635" wp14:editId="33BF4D06">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2117E6" w:rsidRDefault="00A05F74" w:rsidP="00791E04">
      <w:pPr>
        <w:pStyle w:val="Heading1"/>
      </w:pPr>
      <w:r>
        <w:t>National Relay Service—</w:t>
      </w:r>
      <w:r w:rsidRPr="00D75C0D">
        <w:t>Quarterly Performance Report</w:t>
      </w:r>
    </w:p>
    <w:p w:rsidR="00400E77" w:rsidRDefault="00A05F74" w:rsidP="00EB40A5">
      <w:pPr>
        <w:rPr>
          <w:lang w:eastAsia="en-US"/>
        </w:rPr>
      </w:pPr>
      <w:bookmarkStart w:id="0" w:name="_GoBack"/>
      <w:bookmarkEnd w:id="0"/>
      <w:r w:rsidRPr="00D75C0D">
        <w:rPr>
          <w:sz w:val="24"/>
          <w:szCs w:val="24"/>
        </w:rPr>
        <w:t xml:space="preserve">Quarter </w:t>
      </w:r>
      <w:r>
        <w:rPr>
          <w:sz w:val="24"/>
          <w:szCs w:val="24"/>
        </w:rPr>
        <w:t>1</w:t>
      </w:r>
      <w:r w:rsidRPr="00D75C0D">
        <w:rPr>
          <w:sz w:val="24"/>
          <w:szCs w:val="24"/>
        </w:rPr>
        <w:t xml:space="preserve">, </w:t>
      </w:r>
      <w:r>
        <w:rPr>
          <w:sz w:val="24"/>
          <w:szCs w:val="24"/>
        </w:rPr>
        <w:t>2018–19</w:t>
      </w:r>
    </w:p>
    <w:p w:rsidR="00400E77" w:rsidRDefault="00400E77" w:rsidP="00625397">
      <w:pPr>
        <w:rPr>
          <w:lang w:eastAsia="en-US"/>
        </w:rPr>
      </w:pPr>
      <w:r>
        <w:rPr>
          <w:lang w:eastAsia="en-US"/>
        </w:rPr>
        <w:br w:type="page"/>
      </w:r>
    </w:p>
    <w:p w:rsidR="00AE320B" w:rsidRPr="00BE07A7" w:rsidRDefault="00AE320B" w:rsidP="00AE320B">
      <w:pPr>
        <w:pStyle w:val="Heading2-notshowing"/>
      </w:pPr>
      <w:r w:rsidRPr="00BE07A7">
        <w:lastRenderedPageBreak/>
        <w:t>Disclaimer</w:t>
      </w:r>
    </w:p>
    <w:p w:rsidR="00AE320B" w:rsidRPr="00BE07A7" w:rsidRDefault="00AE320B" w:rsidP="00AE320B">
      <w:pPr>
        <w:spacing w:after="120"/>
      </w:pPr>
      <w:r w:rsidRPr="00BE07A7">
        <w:t xml:space="preserve">The material in </w:t>
      </w:r>
      <w:r>
        <w:t xml:space="preserve">this report </w:t>
      </w:r>
      <w:r w:rsidRPr="00BE07A7">
        <w:t>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The Commonwealth accepts no responsibility or liability for any damage, loss or expense incurred as a result of the relia</w:t>
      </w:r>
      <w:r>
        <w:t>nce on information contained in this report.</w:t>
      </w:r>
    </w:p>
    <w:p w:rsidR="00AE320B" w:rsidRPr="00BE07A7" w:rsidRDefault="00AE320B" w:rsidP="00AE320B">
      <w:pPr>
        <w:spacing w:after="120"/>
      </w:pPr>
      <w:r>
        <w:t>This report has</w:t>
      </w:r>
      <w:r w:rsidRPr="00BE07A7">
        <w:t xml:space="preserve"> been prepared for consultation purposes only and does not indicate the Commonwealth’s commitment to a particular course of action. Additionally, any third party views or recommendations included in </w:t>
      </w:r>
      <w:r>
        <w:t>this report</w:t>
      </w:r>
      <w:r w:rsidRPr="00BE07A7">
        <w:t xml:space="preserve"> do not reflect the views of the Commonwealth, or indicate its commitment to a particular course of action.</w:t>
      </w:r>
    </w:p>
    <w:p w:rsidR="00AE320B" w:rsidRPr="00BE07A7" w:rsidRDefault="00AE320B" w:rsidP="00AE320B">
      <w:pPr>
        <w:pStyle w:val="Heading2-notshowing"/>
      </w:pPr>
      <w:r w:rsidRPr="00BE07A7">
        <w:t>Copyright</w:t>
      </w:r>
    </w:p>
    <w:p w:rsidR="00AE320B" w:rsidRPr="00BE07A7" w:rsidRDefault="00AE320B" w:rsidP="00AE320B">
      <w:pPr>
        <w:spacing w:after="120"/>
      </w:pPr>
      <w:r w:rsidRPr="00BE07A7">
        <w:t xml:space="preserve">© Commonwealth of Australia </w:t>
      </w:r>
      <w:r>
        <w:t>2018</w:t>
      </w:r>
    </w:p>
    <w:p w:rsidR="00AE320B" w:rsidRPr="00BE07A7" w:rsidRDefault="00AE320B" w:rsidP="00AE320B">
      <w:pPr>
        <w:spacing w:after="120"/>
      </w:pPr>
      <w:r w:rsidRPr="00BE07A7">
        <w:rPr>
          <w:noProof/>
          <w:lang w:eastAsia="en-AU"/>
        </w:rPr>
        <w:drawing>
          <wp:inline distT="0" distB="0" distL="0" distR="0" wp14:anchorId="04194073" wp14:editId="57CA3DB7">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t xml:space="preserve">  The material in this report </w:t>
      </w:r>
      <w:r w:rsidRPr="00BE07A7">
        <w:t>is licensed under a C</w:t>
      </w:r>
      <w:r>
        <w:t>reative Commons Attribution—4.0 </w:t>
      </w:r>
      <w:r w:rsidRPr="00BE07A7">
        <w:t>International license, with the exception of:</w:t>
      </w:r>
    </w:p>
    <w:p w:rsidR="00AE320B" w:rsidRPr="00BE07A7" w:rsidRDefault="00AE320B" w:rsidP="00AE320B">
      <w:pPr>
        <w:pStyle w:val="Bulletlevel1"/>
      </w:pPr>
      <w:r w:rsidRPr="00BE07A7">
        <w:t>the Commonwealth Coat of Arms</w:t>
      </w:r>
    </w:p>
    <w:p w:rsidR="00AE320B" w:rsidRPr="00BE07A7" w:rsidRDefault="00AE320B" w:rsidP="00AE320B">
      <w:pPr>
        <w:pStyle w:val="Bulletlevel1"/>
      </w:pPr>
      <w:r w:rsidRPr="00BE07A7">
        <w:t>this Department’s logo</w:t>
      </w:r>
    </w:p>
    <w:p w:rsidR="00AE320B" w:rsidRPr="00BE07A7" w:rsidRDefault="00AE320B" w:rsidP="00AE320B">
      <w:pPr>
        <w:pStyle w:val="Bulletlevel1"/>
      </w:pPr>
      <w:r w:rsidRPr="00BE07A7">
        <w:t>any third party material</w:t>
      </w:r>
    </w:p>
    <w:p w:rsidR="00AE320B" w:rsidRPr="00BE07A7" w:rsidRDefault="00AE320B" w:rsidP="00AE320B">
      <w:pPr>
        <w:pStyle w:val="Bulletlevel1"/>
      </w:pPr>
      <w:r w:rsidRPr="00BE07A7">
        <w:t>any material protected by a trademark, and</w:t>
      </w:r>
    </w:p>
    <w:p w:rsidR="00AE320B" w:rsidRPr="00BE07A7" w:rsidRDefault="00AE320B" w:rsidP="00AE320B">
      <w:pPr>
        <w:pStyle w:val="Bulletlevel1"/>
      </w:pPr>
      <w:proofErr w:type="gramStart"/>
      <w:r w:rsidRPr="00BE07A7">
        <w:t>any</w:t>
      </w:r>
      <w:proofErr w:type="gramEnd"/>
      <w:r w:rsidRPr="00BE07A7">
        <w:t xml:space="preserve"> images and/or photographs.</w:t>
      </w:r>
    </w:p>
    <w:p w:rsidR="00AE320B" w:rsidRPr="00BE07A7" w:rsidRDefault="00AE320B" w:rsidP="00AE320B">
      <w:pPr>
        <w:spacing w:after="120"/>
      </w:pPr>
      <w:r w:rsidRPr="00BE07A7">
        <w:t>More information on this CC BY license is set out as follows:</w:t>
      </w:r>
    </w:p>
    <w:p w:rsidR="00AE320B" w:rsidRPr="00BE07A7" w:rsidRDefault="00AE320B" w:rsidP="00AE320B">
      <w:pPr>
        <w:pStyle w:val="Bulletlevel1"/>
      </w:pPr>
      <w:r w:rsidRPr="00BE07A7">
        <w:t>Creative Commons website—</w:t>
      </w:r>
      <w:hyperlink r:id="rId17" w:history="1">
        <w:r w:rsidRPr="00BE07A7">
          <w:rPr>
            <w:rStyle w:val="Hyperlink"/>
          </w:rPr>
          <w:t>www.creativecommons.org</w:t>
        </w:r>
      </w:hyperlink>
    </w:p>
    <w:p w:rsidR="00AE320B" w:rsidRPr="00BE07A7" w:rsidRDefault="00AE320B" w:rsidP="00AE320B">
      <w:pPr>
        <w:pStyle w:val="Bulletlevel1"/>
        <w:spacing w:after="120"/>
      </w:pPr>
      <w:r w:rsidRPr="00BE07A7">
        <w:t>Attribution 4.0 international (CC by 4.0)—</w:t>
      </w:r>
      <w:hyperlink r:id="rId18" w:history="1">
        <w:r w:rsidRPr="005C73E4">
          <w:rPr>
            <w:rStyle w:val="Hyperlink"/>
          </w:rPr>
          <w:t>www.creativecommons.org/licenses/by/4.0</w:t>
        </w:r>
      </w:hyperlink>
      <w:r w:rsidRPr="00BE07A7">
        <w:t>.</w:t>
      </w:r>
    </w:p>
    <w:p w:rsidR="00AE320B" w:rsidRPr="00BE07A7" w:rsidRDefault="00AE320B" w:rsidP="00AE320B">
      <w:pPr>
        <w:spacing w:after="120"/>
      </w:pPr>
      <w:r w:rsidRPr="00BE07A7">
        <w:t xml:space="preserve">Enquiries about this license and any use of this discussion paper can be sent to: </w:t>
      </w:r>
      <w:hyperlink r:id="rId19" w:history="1">
        <w:r w:rsidRPr="00BE07A7">
          <w:rPr>
            <w:rStyle w:val="Hyperlink"/>
          </w:rPr>
          <w:t>copyright@communications.gov.au</w:t>
        </w:r>
      </w:hyperlink>
      <w:r w:rsidRPr="00BE07A7">
        <w:t>.</w:t>
      </w:r>
    </w:p>
    <w:p w:rsidR="00AE320B" w:rsidRPr="00BE07A7" w:rsidRDefault="00AE320B" w:rsidP="00AE320B">
      <w:pPr>
        <w:pStyle w:val="Heading3-notshowing"/>
      </w:pPr>
      <w:bookmarkStart w:id="1" w:name="_Toc490666776"/>
      <w:bookmarkStart w:id="2" w:name="_Toc490744403"/>
      <w:r w:rsidRPr="00BE07A7">
        <w:t>Third party copyright</w:t>
      </w:r>
    </w:p>
    <w:p w:rsidR="00AE320B" w:rsidRPr="00BE07A7" w:rsidRDefault="00AE320B" w:rsidP="00AE320B">
      <w:pPr>
        <w:spacing w:after="120"/>
      </w:pPr>
      <w:r w:rsidRPr="00BE07A7">
        <w:t>The Department has made all reasonable efforts to clearly identify material where the copyright is owned by a third party. Permission may need to be obtained from third parties to re-use their material.</w:t>
      </w:r>
    </w:p>
    <w:p w:rsidR="00AE320B" w:rsidRPr="00BE07A7" w:rsidRDefault="00AE320B" w:rsidP="00AE320B">
      <w:pPr>
        <w:pStyle w:val="Heading3-notshowing"/>
      </w:pPr>
      <w:r w:rsidRPr="00BE07A7">
        <w:t>Attribution</w:t>
      </w:r>
      <w:bookmarkEnd w:id="1"/>
      <w:bookmarkEnd w:id="2"/>
    </w:p>
    <w:p w:rsidR="00AE320B" w:rsidRPr="00BE07A7" w:rsidRDefault="00AE320B" w:rsidP="00AE320B">
      <w:pPr>
        <w:spacing w:after="120"/>
      </w:pPr>
      <w:bookmarkStart w:id="3"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3"/>
    <w:p w:rsidR="00AE320B" w:rsidRPr="00BE07A7" w:rsidRDefault="00AE320B" w:rsidP="00AE320B">
      <w:pPr>
        <w:spacing w:after="120"/>
        <w:ind w:left="567"/>
      </w:pPr>
      <w:r w:rsidRPr="00BE07A7">
        <w:t>Licensed from the Commonwealth of Australia under a Creative Commons Attribution 4.0 International licence.</w:t>
      </w:r>
    </w:p>
    <w:p w:rsidR="00AE320B" w:rsidRPr="00BE07A7" w:rsidRDefault="00AE320B" w:rsidP="00AE320B">
      <w:pPr>
        <w:spacing w:after="120"/>
      </w:pPr>
      <w:r w:rsidRPr="00BE07A7">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rsidR="00AE320B" w:rsidRPr="00BE07A7" w:rsidRDefault="00AE320B" w:rsidP="00AE320B">
      <w:pPr>
        <w:pStyle w:val="Heading2-notshowing"/>
      </w:pPr>
      <w:r w:rsidRPr="00BE07A7">
        <w:t>Using the Commonwealth Coat of Arms</w:t>
      </w:r>
    </w:p>
    <w:p w:rsidR="00597F9B" w:rsidRDefault="00AE320B" w:rsidP="00AE320B">
      <w:pPr>
        <w:spacing w:after="120"/>
        <w:rPr>
          <w:lang w:eastAsia="en-US"/>
        </w:rPr>
      </w:pPr>
      <w:r w:rsidRPr="00BE07A7">
        <w:t>Guidelines for using the Commonwealth Coat of Arms are available from the Department of Prime Minister and Cabinet website at</w:t>
      </w:r>
      <w:r w:rsidRPr="002F3895">
        <w:t xml:space="preserve"> </w:t>
      </w:r>
      <w:hyperlink r:id="rId21" w:history="1">
        <w:r w:rsidRPr="005C73E4">
          <w:rPr>
            <w:rStyle w:val="Hyperlink"/>
          </w:rPr>
          <w:t>www.pmc.gov.au/government/its-honour</w:t>
        </w:r>
      </w:hyperlink>
      <w:r w:rsidRPr="00BE07A7">
        <w:t>.</w:t>
      </w:r>
      <w:r w:rsidR="00597F9B">
        <w:rPr>
          <w:lang w:eastAsia="en-US"/>
        </w:rPr>
        <w:br w:type="page"/>
      </w:r>
    </w:p>
    <w:p w:rsidR="00400E77" w:rsidRDefault="00597F9B" w:rsidP="00597F9B">
      <w:pPr>
        <w:pStyle w:val="Heading2-notshowing"/>
      </w:pPr>
      <w:r>
        <w:lastRenderedPageBreak/>
        <w:t>Contents</w:t>
      </w:r>
    </w:p>
    <w:p w:rsidR="00640284" w:rsidRDefault="00597F9B">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31006536" w:history="1">
        <w:r w:rsidR="00640284" w:rsidRPr="005A3895">
          <w:rPr>
            <w:rStyle w:val="Hyperlink"/>
            <w:noProof/>
          </w:rPr>
          <w:t>Background</w:t>
        </w:r>
        <w:r w:rsidR="00640284">
          <w:rPr>
            <w:noProof/>
            <w:webHidden/>
          </w:rPr>
          <w:tab/>
        </w:r>
        <w:r w:rsidR="00640284">
          <w:rPr>
            <w:noProof/>
            <w:webHidden/>
          </w:rPr>
          <w:fldChar w:fldCharType="begin"/>
        </w:r>
        <w:r w:rsidR="00640284">
          <w:rPr>
            <w:noProof/>
            <w:webHidden/>
          </w:rPr>
          <w:instrText xml:space="preserve"> PAGEREF _Toc531006536 \h </w:instrText>
        </w:r>
        <w:r w:rsidR="00640284">
          <w:rPr>
            <w:noProof/>
            <w:webHidden/>
          </w:rPr>
        </w:r>
        <w:r w:rsidR="00640284">
          <w:rPr>
            <w:noProof/>
            <w:webHidden/>
          </w:rPr>
          <w:fldChar w:fldCharType="separate"/>
        </w:r>
        <w:r w:rsidR="00640284">
          <w:rPr>
            <w:noProof/>
            <w:webHidden/>
          </w:rPr>
          <w:t>4</w:t>
        </w:r>
        <w:r w:rsidR="00640284">
          <w:rPr>
            <w:noProof/>
            <w:webHidden/>
          </w:rPr>
          <w:fldChar w:fldCharType="end"/>
        </w:r>
      </w:hyperlink>
    </w:p>
    <w:p w:rsidR="00640284" w:rsidRDefault="002029AD">
      <w:pPr>
        <w:pStyle w:val="TOC1"/>
        <w:rPr>
          <w:b w:val="0"/>
          <w:noProof/>
          <w:color w:val="auto"/>
          <w:sz w:val="22"/>
          <w:lang w:eastAsia="en-AU"/>
        </w:rPr>
      </w:pPr>
      <w:hyperlink w:anchor="_Toc531006537" w:history="1">
        <w:r w:rsidR="00640284" w:rsidRPr="005A3895">
          <w:rPr>
            <w:rStyle w:val="Hyperlink"/>
            <w:noProof/>
          </w:rPr>
          <w:t>Cost of delivering the NRS</w:t>
        </w:r>
        <w:r w:rsidR="00640284">
          <w:rPr>
            <w:noProof/>
            <w:webHidden/>
          </w:rPr>
          <w:tab/>
        </w:r>
        <w:r w:rsidR="00640284">
          <w:rPr>
            <w:noProof/>
            <w:webHidden/>
          </w:rPr>
          <w:fldChar w:fldCharType="begin"/>
        </w:r>
        <w:r w:rsidR="00640284">
          <w:rPr>
            <w:noProof/>
            <w:webHidden/>
          </w:rPr>
          <w:instrText xml:space="preserve"> PAGEREF _Toc531006537 \h </w:instrText>
        </w:r>
        <w:r w:rsidR="00640284">
          <w:rPr>
            <w:noProof/>
            <w:webHidden/>
          </w:rPr>
        </w:r>
        <w:r w:rsidR="00640284">
          <w:rPr>
            <w:noProof/>
            <w:webHidden/>
          </w:rPr>
          <w:fldChar w:fldCharType="separate"/>
        </w:r>
        <w:r w:rsidR="00640284">
          <w:rPr>
            <w:noProof/>
            <w:webHidden/>
          </w:rPr>
          <w:t>4</w:t>
        </w:r>
        <w:r w:rsidR="00640284">
          <w:rPr>
            <w:noProof/>
            <w:webHidden/>
          </w:rPr>
          <w:fldChar w:fldCharType="end"/>
        </w:r>
      </w:hyperlink>
    </w:p>
    <w:p w:rsidR="00640284" w:rsidRDefault="002029AD">
      <w:pPr>
        <w:pStyle w:val="TOC1"/>
        <w:rPr>
          <w:b w:val="0"/>
          <w:noProof/>
          <w:color w:val="auto"/>
          <w:sz w:val="22"/>
          <w:lang w:eastAsia="en-AU"/>
        </w:rPr>
      </w:pPr>
      <w:hyperlink w:anchor="_Toc531006538" w:history="1">
        <w:r w:rsidR="00640284" w:rsidRPr="005A3895">
          <w:rPr>
            <w:rStyle w:val="Hyperlink"/>
            <w:noProof/>
          </w:rPr>
          <w:t>Service level performance: relay service provider</w:t>
        </w:r>
        <w:r w:rsidR="00640284">
          <w:rPr>
            <w:noProof/>
            <w:webHidden/>
          </w:rPr>
          <w:tab/>
        </w:r>
        <w:r w:rsidR="00640284">
          <w:rPr>
            <w:noProof/>
            <w:webHidden/>
          </w:rPr>
          <w:fldChar w:fldCharType="begin"/>
        </w:r>
        <w:r w:rsidR="00640284">
          <w:rPr>
            <w:noProof/>
            <w:webHidden/>
          </w:rPr>
          <w:instrText xml:space="preserve"> PAGEREF _Toc531006538 \h </w:instrText>
        </w:r>
        <w:r w:rsidR="00640284">
          <w:rPr>
            <w:noProof/>
            <w:webHidden/>
          </w:rPr>
        </w:r>
        <w:r w:rsidR="00640284">
          <w:rPr>
            <w:noProof/>
            <w:webHidden/>
          </w:rPr>
          <w:fldChar w:fldCharType="separate"/>
        </w:r>
        <w:r w:rsidR="00640284">
          <w:rPr>
            <w:noProof/>
            <w:webHidden/>
          </w:rPr>
          <w:t>4</w:t>
        </w:r>
        <w:r w:rsidR="00640284">
          <w:rPr>
            <w:noProof/>
            <w:webHidden/>
          </w:rPr>
          <w:fldChar w:fldCharType="end"/>
        </w:r>
      </w:hyperlink>
    </w:p>
    <w:p w:rsidR="00640284" w:rsidRDefault="002029AD">
      <w:pPr>
        <w:pStyle w:val="TOC1"/>
        <w:rPr>
          <w:b w:val="0"/>
          <w:noProof/>
          <w:color w:val="auto"/>
          <w:sz w:val="22"/>
          <w:lang w:eastAsia="en-AU"/>
        </w:rPr>
      </w:pPr>
      <w:hyperlink w:anchor="_Toc531006539" w:history="1">
        <w:r w:rsidR="00640284" w:rsidRPr="005A3895">
          <w:rPr>
            <w:rStyle w:val="Hyperlink"/>
            <w:noProof/>
          </w:rPr>
          <w:t>Service level performance: outreach service provider</w:t>
        </w:r>
        <w:r w:rsidR="00640284">
          <w:rPr>
            <w:noProof/>
            <w:webHidden/>
          </w:rPr>
          <w:tab/>
        </w:r>
        <w:r w:rsidR="00640284">
          <w:rPr>
            <w:noProof/>
            <w:webHidden/>
          </w:rPr>
          <w:fldChar w:fldCharType="begin"/>
        </w:r>
        <w:r w:rsidR="00640284">
          <w:rPr>
            <w:noProof/>
            <w:webHidden/>
          </w:rPr>
          <w:instrText xml:space="preserve"> PAGEREF _Toc531006539 \h </w:instrText>
        </w:r>
        <w:r w:rsidR="00640284">
          <w:rPr>
            <w:noProof/>
            <w:webHidden/>
          </w:rPr>
        </w:r>
        <w:r w:rsidR="00640284">
          <w:rPr>
            <w:noProof/>
            <w:webHidden/>
          </w:rPr>
          <w:fldChar w:fldCharType="separate"/>
        </w:r>
        <w:r w:rsidR="00640284">
          <w:rPr>
            <w:noProof/>
            <w:webHidden/>
          </w:rPr>
          <w:t>6</w:t>
        </w:r>
        <w:r w:rsidR="00640284">
          <w:rPr>
            <w:noProof/>
            <w:webHidden/>
          </w:rPr>
          <w:fldChar w:fldCharType="end"/>
        </w:r>
      </w:hyperlink>
    </w:p>
    <w:p w:rsidR="00640284" w:rsidRDefault="002029AD">
      <w:pPr>
        <w:pStyle w:val="TOC1"/>
        <w:rPr>
          <w:b w:val="0"/>
          <w:noProof/>
          <w:color w:val="auto"/>
          <w:sz w:val="22"/>
          <w:lang w:eastAsia="en-AU"/>
        </w:rPr>
      </w:pPr>
      <w:hyperlink w:anchor="_Toc531006540" w:history="1">
        <w:r w:rsidR="00640284" w:rsidRPr="005A3895">
          <w:rPr>
            <w:rStyle w:val="Hyperlink"/>
            <w:noProof/>
          </w:rPr>
          <w:t>Successful inbound connections (by inbound service access type)</w:t>
        </w:r>
        <w:r w:rsidR="00640284">
          <w:rPr>
            <w:noProof/>
            <w:webHidden/>
          </w:rPr>
          <w:tab/>
        </w:r>
        <w:r w:rsidR="00640284">
          <w:rPr>
            <w:noProof/>
            <w:webHidden/>
          </w:rPr>
          <w:fldChar w:fldCharType="begin"/>
        </w:r>
        <w:r w:rsidR="00640284">
          <w:rPr>
            <w:noProof/>
            <w:webHidden/>
          </w:rPr>
          <w:instrText xml:space="preserve"> PAGEREF _Toc531006540 \h </w:instrText>
        </w:r>
        <w:r w:rsidR="00640284">
          <w:rPr>
            <w:noProof/>
            <w:webHidden/>
          </w:rPr>
        </w:r>
        <w:r w:rsidR="00640284">
          <w:rPr>
            <w:noProof/>
            <w:webHidden/>
          </w:rPr>
          <w:fldChar w:fldCharType="separate"/>
        </w:r>
        <w:r w:rsidR="00640284">
          <w:rPr>
            <w:noProof/>
            <w:webHidden/>
          </w:rPr>
          <w:t>7</w:t>
        </w:r>
        <w:r w:rsidR="00640284">
          <w:rPr>
            <w:noProof/>
            <w:webHidden/>
          </w:rPr>
          <w:fldChar w:fldCharType="end"/>
        </w:r>
      </w:hyperlink>
    </w:p>
    <w:p w:rsidR="00640284" w:rsidRDefault="002029AD">
      <w:pPr>
        <w:pStyle w:val="TOC1"/>
        <w:rPr>
          <w:b w:val="0"/>
          <w:noProof/>
          <w:color w:val="auto"/>
          <w:sz w:val="22"/>
          <w:lang w:eastAsia="en-AU"/>
        </w:rPr>
      </w:pPr>
      <w:hyperlink w:anchor="_Toc531006541" w:history="1">
        <w:r w:rsidR="00640284" w:rsidRPr="005A3895">
          <w:rPr>
            <w:rStyle w:val="Hyperlink"/>
            <w:noProof/>
          </w:rPr>
          <w:t>Outbound call minutes relayed (by inbound connection type)</w:t>
        </w:r>
        <w:r w:rsidR="00640284">
          <w:rPr>
            <w:noProof/>
            <w:webHidden/>
          </w:rPr>
          <w:tab/>
        </w:r>
        <w:r w:rsidR="00640284">
          <w:rPr>
            <w:noProof/>
            <w:webHidden/>
          </w:rPr>
          <w:fldChar w:fldCharType="begin"/>
        </w:r>
        <w:r w:rsidR="00640284">
          <w:rPr>
            <w:noProof/>
            <w:webHidden/>
          </w:rPr>
          <w:instrText xml:space="preserve"> PAGEREF _Toc531006541 \h </w:instrText>
        </w:r>
        <w:r w:rsidR="00640284">
          <w:rPr>
            <w:noProof/>
            <w:webHidden/>
          </w:rPr>
        </w:r>
        <w:r w:rsidR="00640284">
          <w:rPr>
            <w:noProof/>
            <w:webHidden/>
          </w:rPr>
          <w:fldChar w:fldCharType="separate"/>
        </w:r>
        <w:r w:rsidR="00640284">
          <w:rPr>
            <w:noProof/>
            <w:webHidden/>
          </w:rPr>
          <w:t>8</w:t>
        </w:r>
        <w:r w:rsidR="00640284">
          <w:rPr>
            <w:noProof/>
            <w:webHidden/>
          </w:rPr>
          <w:fldChar w:fldCharType="end"/>
        </w:r>
      </w:hyperlink>
    </w:p>
    <w:p w:rsidR="00640284" w:rsidRDefault="002029AD">
      <w:pPr>
        <w:pStyle w:val="TOC1"/>
        <w:rPr>
          <w:b w:val="0"/>
          <w:noProof/>
          <w:color w:val="auto"/>
          <w:sz w:val="22"/>
          <w:lang w:eastAsia="en-AU"/>
        </w:rPr>
      </w:pPr>
      <w:hyperlink w:anchor="_Toc531006542" w:history="1">
        <w:r w:rsidR="00640284" w:rsidRPr="005A3895">
          <w:rPr>
            <w:rStyle w:val="Hyperlink"/>
            <w:noProof/>
          </w:rPr>
          <w:t>Calls to emergency services relayed through the NRS</w:t>
        </w:r>
        <w:r w:rsidR="00640284">
          <w:rPr>
            <w:noProof/>
            <w:webHidden/>
          </w:rPr>
          <w:tab/>
        </w:r>
        <w:r w:rsidR="00640284">
          <w:rPr>
            <w:noProof/>
            <w:webHidden/>
          </w:rPr>
          <w:fldChar w:fldCharType="begin"/>
        </w:r>
        <w:r w:rsidR="00640284">
          <w:rPr>
            <w:noProof/>
            <w:webHidden/>
          </w:rPr>
          <w:instrText xml:space="preserve"> PAGEREF _Toc531006542 \h </w:instrText>
        </w:r>
        <w:r w:rsidR="00640284">
          <w:rPr>
            <w:noProof/>
            <w:webHidden/>
          </w:rPr>
        </w:r>
        <w:r w:rsidR="00640284">
          <w:rPr>
            <w:noProof/>
            <w:webHidden/>
          </w:rPr>
          <w:fldChar w:fldCharType="separate"/>
        </w:r>
        <w:r w:rsidR="00640284">
          <w:rPr>
            <w:noProof/>
            <w:webHidden/>
          </w:rPr>
          <w:t>9</w:t>
        </w:r>
        <w:r w:rsidR="00640284">
          <w:rPr>
            <w:noProof/>
            <w:webHidden/>
          </w:rPr>
          <w:fldChar w:fldCharType="end"/>
        </w:r>
      </w:hyperlink>
    </w:p>
    <w:p w:rsidR="00640284" w:rsidRDefault="002029AD">
      <w:pPr>
        <w:pStyle w:val="TOC1"/>
        <w:rPr>
          <w:b w:val="0"/>
          <w:noProof/>
          <w:color w:val="auto"/>
          <w:sz w:val="22"/>
          <w:lang w:eastAsia="en-AU"/>
        </w:rPr>
      </w:pPr>
      <w:hyperlink w:anchor="_Toc531006543" w:history="1">
        <w:r w:rsidR="00640284" w:rsidRPr="005A3895">
          <w:rPr>
            <w:rStyle w:val="Hyperlink"/>
            <w:noProof/>
          </w:rPr>
          <w:t>Helpdesk enquiries</w:t>
        </w:r>
        <w:r w:rsidR="00640284">
          <w:rPr>
            <w:noProof/>
            <w:webHidden/>
          </w:rPr>
          <w:tab/>
        </w:r>
        <w:r w:rsidR="00640284">
          <w:rPr>
            <w:noProof/>
            <w:webHidden/>
          </w:rPr>
          <w:fldChar w:fldCharType="begin"/>
        </w:r>
        <w:r w:rsidR="00640284">
          <w:rPr>
            <w:noProof/>
            <w:webHidden/>
          </w:rPr>
          <w:instrText xml:space="preserve"> PAGEREF _Toc531006543 \h </w:instrText>
        </w:r>
        <w:r w:rsidR="00640284">
          <w:rPr>
            <w:noProof/>
            <w:webHidden/>
          </w:rPr>
        </w:r>
        <w:r w:rsidR="00640284">
          <w:rPr>
            <w:noProof/>
            <w:webHidden/>
          </w:rPr>
          <w:fldChar w:fldCharType="separate"/>
        </w:r>
        <w:r w:rsidR="00640284">
          <w:rPr>
            <w:noProof/>
            <w:webHidden/>
          </w:rPr>
          <w:t>10</w:t>
        </w:r>
        <w:r w:rsidR="00640284">
          <w:rPr>
            <w:noProof/>
            <w:webHidden/>
          </w:rPr>
          <w:fldChar w:fldCharType="end"/>
        </w:r>
      </w:hyperlink>
    </w:p>
    <w:p w:rsidR="00597F9B" w:rsidRDefault="00597F9B" w:rsidP="00400E77">
      <w:pPr>
        <w:rPr>
          <w:lang w:eastAsia="en-US"/>
        </w:rPr>
      </w:pPr>
      <w:r>
        <w:rPr>
          <w:lang w:eastAsia="en-US"/>
        </w:rPr>
        <w:fldChar w:fldCharType="end"/>
      </w:r>
    </w:p>
    <w:p w:rsidR="00597F9B" w:rsidRDefault="00705B86" w:rsidP="00705B86">
      <w:pPr>
        <w:pStyle w:val="Heading2-notshowing"/>
      </w:pPr>
      <w:r>
        <w:t>Tables</w:t>
      </w:r>
    </w:p>
    <w:p w:rsidR="00640284" w:rsidRDefault="00705B86">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531006544" w:history="1">
        <w:r w:rsidR="00640284" w:rsidRPr="006B6E97">
          <w:rPr>
            <w:rStyle w:val="Hyperlink"/>
            <w:noProof/>
          </w:rPr>
          <w:t>Table 1. Cost of delivering the NRS</w:t>
        </w:r>
        <w:r w:rsidR="00640284">
          <w:rPr>
            <w:noProof/>
            <w:webHidden/>
          </w:rPr>
          <w:tab/>
        </w:r>
        <w:r w:rsidR="00640284">
          <w:rPr>
            <w:noProof/>
            <w:webHidden/>
          </w:rPr>
          <w:fldChar w:fldCharType="begin"/>
        </w:r>
        <w:r w:rsidR="00640284">
          <w:rPr>
            <w:noProof/>
            <w:webHidden/>
          </w:rPr>
          <w:instrText xml:space="preserve"> PAGEREF _Toc531006544 \h </w:instrText>
        </w:r>
        <w:r w:rsidR="00640284">
          <w:rPr>
            <w:noProof/>
            <w:webHidden/>
          </w:rPr>
        </w:r>
        <w:r w:rsidR="00640284">
          <w:rPr>
            <w:noProof/>
            <w:webHidden/>
          </w:rPr>
          <w:fldChar w:fldCharType="separate"/>
        </w:r>
        <w:r w:rsidR="00640284">
          <w:rPr>
            <w:noProof/>
            <w:webHidden/>
          </w:rPr>
          <w:t>4</w:t>
        </w:r>
        <w:r w:rsidR="00640284">
          <w:rPr>
            <w:noProof/>
            <w:webHidden/>
          </w:rPr>
          <w:fldChar w:fldCharType="end"/>
        </w:r>
      </w:hyperlink>
    </w:p>
    <w:p w:rsidR="00640284" w:rsidRDefault="002029AD">
      <w:pPr>
        <w:pStyle w:val="TOC4"/>
        <w:rPr>
          <w:noProof/>
          <w:lang w:eastAsia="en-AU"/>
        </w:rPr>
      </w:pPr>
      <w:hyperlink w:anchor="_Toc531006545" w:history="1">
        <w:r w:rsidR="00640284" w:rsidRPr="006B6E97">
          <w:rPr>
            <w:rStyle w:val="Hyperlink"/>
            <w:noProof/>
          </w:rPr>
          <w:t>Table 2. Service level performance: relay service provider</w:t>
        </w:r>
        <w:r w:rsidR="00640284">
          <w:rPr>
            <w:noProof/>
            <w:webHidden/>
          </w:rPr>
          <w:tab/>
        </w:r>
        <w:r w:rsidR="00640284">
          <w:rPr>
            <w:noProof/>
            <w:webHidden/>
          </w:rPr>
          <w:fldChar w:fldCharType="begin"/>
        </w:r>
        <w:r w:rsidR="00640284">
          <w:rPr>
            <w:noProof/>
            <w:webHidden/>
          </w:rPr>
          <w:instrText xml:space="preserve"> PAGEREF _Toc531006545 \h </w:instrText>
        </w:r>
        <w:r w:rsidR="00640284">
          <w:rPr>
            <w:noProof/>
            <w:webHidden/>
          </w:rPr>
        </w:r>
        <w:r w:rsidR="00640284">
          <w:rPr>
            <w:noProof/>
            <w:webHidden/>
          </w:rPr>
          <w:fldChar w:fldCharType="separate"/>
        </w:r>
        <w:r w:rsidR="00640284">
          <w:rPr>
            <w:noProof/>
            <w:webHidden/>
          </w:rPr>
          <w:t>5</w:t>
        </w:r>
        <w:r w:rsidR="00640284">
          <w:rPr>
            <w:noProof/>
            <w:webHidden/>
          </w:rPr>
          <w:fldChar w:fldCharType="end"/>
        </w:r>
      </w:hyperlink>
    </w:p>
    <w:p w:rsidR="00640284" w:rsidRDefault="002029AD">
      <w:pPr>
        <w:pStyle w:val="TOC4"/>
        <w:rPr>
          <w:noProof/>
          <w:lang w:eastAsia="en-AU"/>
        </w:rPr>
      </w:pPr>
      <w:hyperlink w:anchor="_Toc531006546" w:history="1">
        <w:r w:rsidR="00640284" w:rsidRPr="006B6E97">
          <w:rPr>
            <w:rStyle w:val="Hyperlink"/>
            <w:noProof/>
          </w:rPr>
          <w:t>Table 3. Service level performance: outreach service provider</w:t>
        </w:r>
        <w:r w:rsidR="00640284">
          <w:rPr>
            <w:noProof/>
            <w:webHidden/>
          </w:rPr>
          <w:tab/>
        </w:r>
        <w:r w:rsidR="00640284">
          <w:rPr>
            <w:noProof/>
            <w:webHidden/>
          </w:rPr>
          <w:fldChar w:fldCharType="begin"/>
        </w:r>
        <w:r w:rsidR="00640284">
          <w:rPr>
            <w:noProof/>
            <w:webHidden/>
          </w:rPr>
          <w:instrText xml:space="preserve"> PAGEREF _Toc531006546 \h </w:instrText>
        </w:r>
        <w:r w:rsidR="00640284">
          <w:rPr>
            <w:noProof/>
            <w:webHidden/>
          </w:rPr>
        </w:r>
        <w:r w:rsidR="00640284">
          <w:rPr>
            <w:noProof/>
            <w:webHidden/>
          </w:rPr>
          <w:fldChar w:fldCharType="separate"/>
        </w:r>
        <w:r w:rsidR="00640284">
          <w:rPr>
            <w:noProof/>
            <w:webHidden/>
          </w:rPr>
          <w:t>6</w:t>
        </w:r>
        <w:r w:rsidR="00640284">
          <w:rPr>
            <w:noProof/>
            <w:webHidden/>
          </w:rPr>
          <w:fldChar w:fldCharType="end"/>
        </w:r>
      </w:hyperlink>
    </w:p>
    <w:p w:rsidR="00597F9B" w:rsidRDefault="00705B86" w:rsidP="00400E77">
      <w:pPr>
        <w:rPr>
          <w:lang w:eastAsia="en-US"/>
        </w:rPr>
      </w:pPr>
      <w:r>
        <w:rPr>
          <w:lang w:eastAsia="en-US"/>
        </w:rPr>
        <w:fldChar w:fldCharType="end"/>
      </w:r>
    </w:p>
    <w:p w:rsidR="00400E77" w:rsidRDefault="00400E77" w:rsidP="00625397">
      <w:pPr>
        <w:rPr>
          <w:lang w:eastAsia="en-US"/>
        </w:rPr>
      </w:pPr>
      <w:r>
        <w:rPr>
          <w:lang w:eastAsia="en-US"/>
        </w:rPr>
        <w:br w:type="page"/>
      </w:r>
    </w:p>
    <w:p w:rsidR="00AE320B" w:rsidRDefault="00AE320B" w:rsidP="00AE320B">
      <w:pPr>
        <w:pStyle w:val="Heading2"/>
      </w:pPr>
      <w:bookmarkStart w:id="4" w:name="_Toc530992292"/>
      <w:bookmarkStart w:id="5" w:name="_Toc531006536"/>
      <w:r>
        <w:lastRenderedPageBreak/>
        <w:t>Background</w:t>
      </w:r>
      <w:bookmarkEnd w:id="4"/>
      <w:bookmarkEnd w:id="5"/>
    </w:p>
    <w:p w:rsidR="00AE320B" w:rsidRPr="00004BCB" w:rsidRDefault="00AE320B" w:rsidP="00AE320B">
      <w:r w:rsidRPr="00004BCB">
        <w:t xml:space="preserve">The </w:t>
      </w:r>
      <w:r>
        <w:t>National Relay Service (</w:t>
      </w:r>
      <w:r w:rsidRPr="00004BCB">
        <w:t>NRS</w:t>
      </w:r>
      <w:r>
        <w:t>)</w:t>
      </w:r>
      <w:r w:rsidRPr="00004BCB">
        <w:t xml:space="preserve"> providers are required to submit activity and performance data to the Department of Communications and the Arts (</w:t>
      </w:r>
      <w:r>
        <w:t>the Department</w:t>
      </w:r>
      <w:r w:rsidRPr="00004BCB">
        <w:t xml:space="preserve">) each quarter. </w:t>
      </w:r>
      <w:r>
        <w:t>These reports are used</w:t>
      </w:r>
      <w:r w:rsidRPr="00004BCB">
        <w:t xml:space="preserve"> to review the </w:t>
      </w:r>
      <w:r>
        <w:t xml:space="preserve">performance of the NRS providers against agreed service levels as well as provide data and information about how </w:t>
      </w:r>
      <w:r w:rsidRPr="00004BCB">
        <w:t>the NRS</w:t>
      </w:r>
      <w:r>
        <w:t xml:space="preserve"> has been used in the quarter</w:t>
      </w:r>
      <w:r w:rsidRPr="00004BCB">
        <w:t>.</w:t>
      </w:r>
    </w:p>
    <w:p w:rsidR="00AE320B" w:rsidRPr="00004BCB" w:rsidRDefault="00AE320B" w:rsidP="00AE320B">
      <w:r>
        <w:t>The Department</w:t>
      </w:r>
      <w:r w:rsidRPr="00004BCB">
        <w:t xml:space="preserve"> </w:t>
      </w:r>
      <w:r>
        <w:t xml:space="preserve">then </w:t>
      </w:r>
      <w:r w:rsidRPr="00004BCB">
        <w:t>reports on:</w:t>
      </w:r>
    </w:p>
    <w:p w:rsidR="00AE320B" w:rsidRPr="00004BCB" w:rsidRDefault="00AE320B" w:rsidP="00AE320B">
      <w:pPr>
        <w:pStyle w:val="Bulletlevel1"/>
      </w:pPr>
      <w:r w:rsidRPr="00004BCB">
        <w:t>the cost of deliveri</w:t>
      </w:r>
      <w:r>
        <w:t>ng the NRS on a quarterly basis</w:t>
      </w:r>
    </w:p>
    <w:p w:rsidR="00AE320B" w:rsidRPr="00004BCB" w:rsidRDefault="00AE320B" w:rsidP="00AE320B">
      <w:pPr>
        <w:pStyle w:val="Bulletlevel1"/>
      </w:pPr>
      <w:r w:rsidRPr="00004BCB">
        <w:t xml:space="preserve">the performance of the NRS providers against </w:t>
      </w:r>
      <w:r>
        <w:t>agreed service levels,</w:t>
      </w:r>
      <w:r w:rsidRPr="00004BCB">
        <w:t xml:space="preserve"> and</w:t>
      </w:r>
    </w:p>
    <w:p w:rsidR="00AE320B" w:rsidRPr="00004BCB" w:rsidRDefault="00AE320B" w:rsidP="00AE320B">
      <w:pPr>
        <w:pStyle w:val="Bulletlevel1"/>
      </w:pPr>
      <w:r w:rsidRPr="00004BCB">
        <w:t xml:space="preserve">information on how the NRS is used, including </w:t>
      </w:r>
      <w:r>
        <w:t xml:space="preserve">the number of successful </w:t>
      </w:r>
      <w:r w:rsidRPr="00004BCB">
        <w:t xml:space="preserve">inbound </w:t>
      </w:r>
      <w:r>
        <w:t xml:space="preserve">connections, the volume of </w:t>
      </w:r>
      <w:r w:rsidRPr="00004BCB">
        <w:t xml:space="preserve">outbound call </w:t>
      </w:r>
      <w:r>
        <w:t xml:space="preserve">minutes generated by each service access option, the number of calls to emergency services </w:t>
      </w:r>
      <w:r w:rsidRPr="00004BCB">
        <w:t xml:space="preserve">and the </w:t>
      </w:r>
      <w:r>
        <w:t>volume of different types of contact with the NRS helpdesk.</w:t>
      </w:r>
    </w:p>
    <w:p w:rsidR="00AE320B" w:rsidRDefault="00AE320B" w:rsidP="00AE320B">
      <w:r w:rsidRPr="00004BCB">
        <w:t>Th</w:t>
      </w:r>
      <w:r>
        <w:t>e</w:t>
      </w:r>
      <w:r w:rsidRPr="00004BCB">
        <w:t xml:space="preserve"> </w:t>
      </w:r>
      <w:r>
        <w:t xml:space="preserve">quarterly report </w:t>
      </w:r>
      <w:r w:rsidRPr="00004BCB">
        <w:t xml:space="preserve">provides </w:t>
      </w:r>
      <w:r>
        <w:t xml:space="preserve">regular </w:t>
      </w:r>
      <w:r w:rsidRPr="00004BCB">
        <w:t>transparency of ongoing costs</w:t>
      </w:r>
      <w:r>
        <w:t xml:space="preserve"> and </w:t>
      </w:r>
      <w:r w:rsidRPr="00004BCB">
        <w:t xml:space="preserve">the NRS providers' </w:t>
      </w:r>
      <w:r>
        <w:t>performance</w:t>
      </w:r>
      <w:r w:rsidRPr="00004BCB">
        <w:t xml:space="preserve"> in delivering the NRS</w:t>
      </w:r>
      <w:r>
        <w:t>.</w:t>
      </w:r>
    </w:p>
    <w:p w:rsidR="00AE320B" w:rsidRDefault="00AE320B" w:rsidP="00AE320B">
      <w:pPr>
        <w:pStyle w:val="Heading2"/>
      </w:pPr>
      <w:bookmarkStart w:id="6" w:name="_Toc530992293"/>
      <w:bookmarkStart w:id="7" w:name="_Toc531006537"/>
      <w:r>
        <w:t>Cost of delivering the NRS</w:t>
      </w:r>
      <w:bookmarkEnd w:id="6"/>
      <w:bookmarkEnd w:id="7"/>
    </w:p>
    <w:p w:rsidR="00AE320B" w:rsidRPr="00004BCB" w:rsidRDefault="00AE320B" w:rsidP="00AE320B">
      <w:r w:rsidRPr="00004BCB">
        <w:t xml:space="preserve">The annual cost of delivering the NRS varies, as the relay service component is </w:t>
      </w:r>
      <w:r>
        <w:t xml:space="preserve">affected by </w:t>
      </w:r>
      <w:r w:rsidRPr="00004BCB">
        <w:t>the number of call minutes relayed during the financial year. The cost of providing the NRS is funded from the telecommunications industry levy paid by eligib</w:t>
      </w:r>
      <w:r>
        <w:t>le telecommunications carriers.</w:t>
      </w:r>
    </w:p>
    <w:p w:rsidR="00AE320B" w:rsidRDefault="00AE320B" w:rsidP="00AE320B">
      <w:r w:rsidRPr="00004BCB">
        <w:t>The cost (GST</w:t>
      </w:r>
      <w:r>
        <w:t xml:space="preserve"> </w:t>
      </w:r>
      <w:r w:rsidRPr="00004BCB">
        <w:t xml:space="preserve">inclusive) </w:t>
      </w:r>
      <w:r>
        <w:t xml:space="preserve">of providing the NRS for each quarter of the </w:t>
      </w:r>
      <w:r w:rsidRPr="00004BCB">
        <w:t>201</w:t>
      </w:r>
      <w:r>
        <w:t>8–</w:t>
      </w:r>
      <w:r w:rsidRPr="00004BCB">
        <w:t>1</w:t>
      </w:r>
      <w:r>
        <w:t xml:space="preserve">9 financial year to date </w:t>
      </w:r>
      <w:r w:rsidRPr="00004BCB">
        <w:t>is outlined in the table below</w:t>
      </w:r>
      <w:r>
        <w:t>.</w:t>
      </w:r>
    </w:p>
    <w:p w:rsidR="00AE320B" w:rsidRDefault="00AE320B" w:rsidP="00AE320B">
      <w:pPr>
        <w:pStyle w:val="Tablefigureheading"/>
      </w:pPr>
      <w:bookmarkStart w:id="8" w:name="_Toc530992301"/>
      <w:bookmarkStart w:id="9" w:name="_Toc531006544"/>
      <w:r>
        <w:t>Table 1. Cost of delivering the NRS</w:t>
      </w:r>
      <w:bookmarkEnd w:id="8"/>
      <w:bookmarkEnd w:id="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Description w:val="Table 1. Cost of delivering the NRS."/>
      </w:tblPr>
      <w:tblGrid>
        <w:gridCol w:w="1758"/>
        <w:gridCol w:w="1531"/>
        <w:gridCol w:w="1531"/>
        <w:gridCol w:w="1531"/>
        <w:gridCol w:w="1542"/>
        <w:gridCol w:w="1695"/>
      </w:tblGrid>
      <w:tr w:rsidR="00AB2B3D" w:rsidTr="00AB2B3D">
        <w:trPr>
          <w:cantSplit/>
          <w:tblHeader/>
        </w:trPr>
        <w:tc>
          <w:tcPr>
            <w:tcW w:w="1758" w:type="dxa"/>
            <w:tcBorders>
              <w:top w:val="nil"/>
              <w:left w:val="nil"/>
              <w:bottom w:val="thickThinLargeGap" w:sz="24" w:space="0" w:color="auto"/>
              <w:right w:val="nil"/>
            </w:tcBorders>
            <w:shd w:val="clear" w:color="auto" w:fill="E4E4E4"/>
          </w:tcPr>
          <w:p w:rsidR="00AB2B3D" w:rsidRDefault="00AB2B3D" w:rsidP="009B6714">
            <w:pPr>
              <w:pStyle w:val="Tablerowcolumnheading"/>
            </w:pPr>
          </w:p>
        </w:tc>
        <w:tc>
          <w:tcPr>
            <w:tcW w:w="1531" w:type="dxa"/>
            <w:tcBorders>
              <w:top w:val="nil"/>
              <w:left w:val="nil"/>
              <w:bottom w:val="thickThinLargeGap" w:sz="24" w:space="0" w:color="auto"/>
              <w:right w:val="nil"/>
            </w:tcBorders>
            <w:shd w:val="clear" w:color="auto" w:fill="E4E4E4"/>
          </w:tcPr>
          <w:p w:rsidR="00AB2B3D" w:rsidRDefault="00AB2B3D" w:rsidP="00AB2B3D">
            <w:pPr>
              <w:pStyle w:val="Tablerowcolumnheadingcentred"/>
            </w:pPr>
            <w:r>
              <w:t>Quarter 1</w:t>
            </w:r>
          </w:p>
        </w:tc>
        <w:tc>
          <w:tcPr>
            <w:tcW w:w="1531" w:type="dxa"/>
            <w:tcBorders>
              <w:top w:val="nil"/>
              <w:left w:val="nil"/>
              <w:bottom w:val="thickThinLargeGap" w:sz="24" w:space="0" w:color="auto"/>
              <w:right w:val="nil"/>
            </w:tcBorders>
            <w:shd w:val="clear" w:color="auto" w:fill="E4E4E4"/>
          </w:tcPr>
          <w:p w:rsidR="00AB2B3D" w:rsidRDefault="00AB2B3D" w:rsidP="00AB2B3D">
            <w:pPr>
              <w:pStyle w:val="Tablerowcolumnheadingcentred"/>
            </w:pPr>
            <w:r>
              <w:t>Quarter 2</w:t>
            </w:r>
          </w:p>
        </w:tc>
        <w:tc>
          <w:tcPr>
            <w:tcW w:w="1531" w:type="dxa"/>
            <w:tcBorders>
              <w:top w:val="nil"/>
              <w:left w:val="nil"/>
              <w:bottom w:val="thickThinLargeGap" w:sz="24" w:space="0" w:color="auto"/>
              <w:right w:val="nil"/>
            </w:tcBorders>
            <w:shd w:val="clear" w:color="auto" w:fill="E4E4E4"/>
          </w:tcPr>
          <w:p w:rsidR="00AB2B3D" w:rsidRDefault="00AB2B3D" w:rsidP="00AB2B3D">
            <w:pPr>
              <w:pStyle w:val="Tablerowcolumnheadingcentred"/>
            </w:pPr>
            <w:r>
              <w:t>Quarter 3</w:t>
            </w:r>
          </w:p>
        </w:tc>
        <w:tc>
          <w:tcPr>
            <w:tcW w:w="1542" w:type="dxa"/>
            <w:tcBorders>
              <w:top w:val="nil"/>
              <w:left w:val="nil"/>
              <w:bottom w:val="thickThinLargeGap" w:sz="24" w:space="0" w:color="auto"/>
              <w:right w:val="nil"/>
            </w:tcBorders>
            <w:shd w:val="clear" w:color="auto" w:fill="E4E4E4"/>
          </w:tcPr>
          <w:p w:rsidR="00AB2B3D" w:rsidRDefault="00AB2B3D" w:rsidP="00AB2B3D">
            <w:pPr>
              <w:pStyle w:val="Tablerowcolumnheadingcentred"/>
            </w:pPr>
            <w:r>
              <w:t>Quarter 4</w:t>
            </w:r>
          </w:p>
        </w:tc>
        <w:tc>
          <w:tcPr>
            <w:tcW w:w="1695" w:type="dxa"/>
            <w:tcBorders>
              <w:top w:val="nil"/>
              <w:left w:val="nil"/>
              <w:bottom w:val="thickThinLargeGap" w:sz="24" w:space="0" w:color="auto"/>
              <w:right w:val="nil"/>
            </w:tcBorders>
            <w:shd w:val="clear" w:color="auto" w:fill="E4E4E4"/>
          </w:tcPr>
          <w:p w:rsidR="00AB2B3D" w:rsidRDefault="00AB2B3D" w:rsidP="00AB2B3D">
            <w:pPr>
              <w:pStyle w:val="Tablerowcolumnheadingcentred"/>
            </w:pPr>
            <w:r>
              <w:t>Total YTD</w:t>
            </w:r>
          </w:p>
        </w:tc>
      </w:tr>
      <w:tr w:rsidR="00AB2B3D" w:rsidTr="00AB2B3D">
        <w:trPr>
          <w:cantSplit/>
        </w:trPr>
        <w:tc>
          <w:tcPr>
            <w:tcW w:w="1758" w:type="dxa"/>
            <w:tcBorders>
              <w:top w:val="thickThinLargeGap" w:sz="24" w:space="0" w:color="auto"/>
              <w:left w:val="nil"/>
              <w:bottom w:val="single" w:sz="4" w:space="0" w:color="auto"/>
              <w:right w:val="nil"/>
            </w:tcBorders>
          </w:tcPr>
          <w:p w:rsidR="00AB2B3D" w:rsidRDefault="00AB2B3D" w:rsidP="00AB2B3D">
            <w:pPr>
              <w:pStyle w:val="Tabletext"/>
            </w:pPr>
            <w:r>
              <w:t>Relay service</w:t>
            </w:r>
          </w:p>
        </w:tc>
        <w:tc>
          <w:tcPr>
            <w:tcW w:w="1531" w:type="dxa"/>
            <w:tcBorders>
              <w:top w:val="thickThinLargeGap" w:sz="24" w:space="0" w:color="auto"/>
              <w:left w:val="nil"/>
              <w:bottom w:val="single" w:sz="4" w:space="0" w:color="auto"/>
              <w:right w:val="nil"/>
            </w:tcBorders>
          </w:tcPr>
          <w:p w:rsidR="00AB2B3D" w:rsidRPr="00AB2B3D" w:rsidRDefault="00AB2B3D" w:rsidP="00AB2B3D">
            <w:pPr>
              <w:pStyle w:val="Tabletextcentred"/>
            </w:pPr>
            <w:r w:rsidRPr="00AB2B3D">
              <w:t>$7,293,529.91</w:t>
            </w:r>
          </w:p>
        </w:tc>
        <w:tc>
          <w:tcPr>
            <w:tcW w:w="1531" w:type="dxa"/>
            <w:tcBorders>
              <w:top w:val="thickThinLargeGap" w:sz="24" w:space="0" w:color="auto"/>
              <w:left w:val="nil"/>
              <w:bottom w:val="single" w:sz="4" w:space="0" w:color="auto"/>
              <w:right w:val="nil"/>
            </w:tcBorders>
          </w:tcPr>
          <w:p w:rsidR="00AB2B3D" w:rsidRPr="00AB2B3D" w:rsidRDefault="00AB2B3D" w:rsidP="00AB2B3D">
            <w:pPr>
              <w:pStyle w:val="Tabletextcentred"/>
            </w:pPr>
          </w:p>
        </w:tc>
        <w:tc>
          <w:tcPr>
            <w:tcW w:w="1531" w:type="dxa"/>
            <w:tcBorders>
              <w:top w:val="thickThinLargeGap" w:sz="24" w:space="0" w:color="auto"/>
              <w:left w:val="nil"/>
              <w:bottom w:val="single" w:sz="4" w:space="0" w:color="auto"/>
              <w:right w:val="nil"/>
            </w:tcBorders>
          </w:tcPr>
          <w:p w:rsidR="00AB2B3D" w:rsidRPr="00AB2B3D" w:rsidRDefault="00AB2B3D" w:rsidP="00AB2B3D">
            <w:pPr>
              <w:pStyle w:val="Tabletextcentred"/>
            </w:pPr>
          </w:p>
        </w:tc>
        <w:tc>
          <w:tcPr>
            <w:tcW w:w="1542" w:type="dxa"/>
            <w:tcBorders>
              <w:top w:val="thickThinLargeGap" w:sz="24" w:space="0" w:color="auto"/>
              <w:left w:val="nil"/>
              <w:bottom w:val="single" w:sz="4" w:space="0" w:color="auto"/>
              <w:right w:val="nil"/>
            </w:tcBorders>
          </w:tcPr>
          <w:p w:rsidR="00AB2B3D" w:rsidRPr="00AB2B3D" w:rsidRDefault="00AB2B3D" w:rsidP="00AB2B3D">
            <w:pPr>
              <w:pStyle w:val="Tabletextcentred"/>
            </w:pPr>
          </w:p>
        </w:tc>
        <w:tc>
          <w:tcPr>
            <w:tcW w:w="1695" w:type="dxa"/>
            <w:tcBorders>
              <w:top w:val="thickThinLargeGap" w:sz="24" w:space="0" w:color="auto"/>
              <w:left w:val="nil"/>
              <w:bottom w:val="single" w:sz="4" w:space="0" w:color="auto"/>
              <w:right w:val="nil"/>
            </w:tcBorders>
          </w:tcPr>
          <w:p w:rsidR="00AB2B3D" w:rsidRPr="00AB2B3D" w:rsidRDefault="00AB2B3D" w:rsidP="00AB2B3D">
            <w:pPr>
              <w:pStyle w:val="Tabletextcentred"/>
            </w:pPr>
            <w:r w:rsidRPr="00AB2B3D">
              <w:t>$7,293,529.91</w:t>
            </w:r>
          </w:p>
        </w:tc>
      </w:tr>
      <w:tr w:rsidR="00AB2B3D" w:rsidTr="00AB2B3D">
        <w:trPr>
          <w:cantSplit/>
        </w:trPr>
        <w:tc>
          <w:tcPr>
            <w:tcW w:w="1758" w:type="dxa"/>
            <w:tcBorders>
              <w:top w:val="single" w:sz="4" w:space="0" w:color="auto"/>
              <w:left w:val="nil"/>
              <w:bottom w:val="single" w:sz="4" w:space="0" w:color="auto"/>
              <w:right w:val="nil"/>
            </w:tcBorders>
          </w:tcPr>
          <w:p w:rsidR="00AB2B3D" w:rsidRDefault="00AB2B3D" w:rsidP="00AB2B3D">
            <w:pPr>
              <w:pStyle w:val="Tabletext"/>
            </w:pPr>
            <w:r>
              <w:t>Outreach service</w:t>
            </w:r>
          </w:p>
        </w:tc>
        <w:tc>
          <w:tcPr>
            <w:tcW w:w="1531" w:type="dxa"/>
            <w:tcBorders>
              <w:top w:val="single" w:sz="4" w:space="0" w:color="auto"/>
              <w:left w:val="nil"/>
              <w:bottom w:val="single" w:sz="4" w:space="0" w:color="auto"/>
              <w:right w:val="nil"/>
            </w:tcBorders>
          </w:tcPr>
          <w:p w:rsidR="00AB2B3D" w:rsidRPr="00AB2B3D" w:rsidRDefault="00AB2B3D" w:rsidP="00AB2B3D">
            <w:pPr>
              <w:pStyle w:val="Tabletextcentred"/>
            </w:pPr>
            <w:r w:rsidRPr="00AB2B3D">
              <w:t>$336,124.50</w:t>
            </w:r>
          </w:p>
        </w:tc>
        <w:tc>
          <w:tcPr>
            <w:tcW w:w="1531" w:type="dxa"/>
            <w:tcBorders>
              <w:top w:val="single" w:sz="4" w:space="0" w:color="auto"/>
              <w:left w:val="nil"/>
              <w:bottom w:val="single" w:sz="4" w:space="0" w:color="auto"/>
              <w:right w:val="nil"/>
            </w:tcBorders>
          </w:tcPr>
          <w:p w:rsidR="00AB2B3D" w:rsidRPr="00AB2B3D" w:rsidRDefault="00AB2B3D" w:rsidP="00AB2B3D">
            <w:pPr>
              <w:pStyle w:val="Tabletextcentred"/>
            </w:pPr>
          </w:p>
        </w:tc>
        <w:tc>
          <w:tcPr>
            <w:tcW w:w="1531" w:type="dxa"/>
            <w:tcBorders>
              <w:top w:val="single" w:sz="4" w:space="0" w:color="auto"/>
              <w:left w:val="nil"/>
              <w:bottom w:val="single" w:sz="4" w:space="0" w:color="auto"/>
              <w:right w:val="nil"/>
            </w:tcBorders>
          </w:tcPr>
          <w:p w:rsidR="00AB2B3D" w:rsidRPr="00AB2B3D" w:rsidRDefault="00AB2B3D" w:rsidP="00AB2B3D">
            <w:pPr>
              <w:pStyle w:val="Tabletextcentred"/>
            </w:pPr>
          </w:p>
        </w:tc>
        <w:tc>
          <w:tcPr>
            <w:tcW w:w="1542" w:type="dxa"/>
            <w:tcBorders>
              <w:top w:val="single" w:sz="4" w:space="0" w:color="auto"/>
              <w:left w:val="nil"/>
              <w:bottom w:val="single" w:sz="4" w:space="0" w:color="auto"/>
              <w:right w:val="nil"/>
            </w:tcBorders>
          </w:tcPr>
          <w:p w:rsidR="00AB2B3D" w:rsidRPr="00AB2B3D" w:rsidRDefault="00AB2B3D" w:rsidP="00AB2B3D">
            <w:pPr>
              <w:pStyle w:val="Tabletextcentred"/>
            </w:pPr>
          </w:p>
        </w:tc>
        <w:tc>
          <w:tcPr>
            <w:tcW w:w="1695" w:type="dxa"/>
            <w:tcBorders>
              <w:top w:val="single" w:sz="4" w:space="0" w:color="auto"/>
              <w:left w:val="nil"/>
              <w:bottom w:val="single" w:sz="4" w:space="0" w:color="auto"/>
              <w:right w:val="nil"/>
            </w:tcBorders>
          </w:tcPr>
          <w:p w:rsidR="00AB2B3D" w:rsidRPr="00AB2B3D" w:rsidRDefault="00AB2B3D" w:rsidP="00AB2B3D">
            <w:pPr>
              <w:pStyle w:val="Tabletextcentred"/>
            </w:pPr>
            <w:r w:rsidRPr="00AB2B3D">
              <w:t>$336,124.50</w:t>
            </w:r>
          </w:p>
        </w:tc>
      </w:tr>
      <w:tr w:rsidR="00AB2B3D" w:rsidTr="00AB2B3D">
        <w:trPr>
          <w:cantSplit/>
        </w:trPr>
        <w:tc>
          <w:tcPr>
            <w:tcW w:w="1758" w:type="dxa"/>
            <w:tcBorders>
              <w:top w:val="single" w:sz="4" w:space="0" w:color="auto"/>
              <w:left w:val="nil"/>
              <w:bottom w:val="single" w:sz="12" w:space="0" w:color="auto"/>
              <w:right w:val="nil"/>
            </w:tcBorders>
          </w:tcPr>
          <w:p w:rsidR="00AB2B3D" w:rsidRDefault="00AB2B3D" w:rsidP="00AB2B3D">
            <w:pPr>
              <w:pStyle w:val="Tabletext"/>
            </w:pPr>
            <w:r>
              <w:t>Total</w:t>
            </w:r>
          </w:p>
        </w:tc>
        <w:tc>
          <w:tcPr>
            <w:tcW w:w="1531" w:type="dxa"/>
            <w:tcBorders>
              <w:top w:val="single" w:sz="4" w:space="0" w:color="auto"/>
              <w:left w:val="nil"/>
              <w:bottom w:val="single" w:sz="12" w:space="0" w:color="auto"/>
              <w:right w:val="nil"/>
            </w:tcBorders>
          </w:tcPr>
          <w:p w:rsidR="00AB2B3D" w:rsidRPr="00AB2B3D" w:rsidRDefault="00AB2B3D" w:rsidP="00AB2B3D">
            <w:pPr>
              <w:pStyle w:val="Tabletextcentred"/>
            </w:pPr>
            <w:r w:rsidRPr="00AB2B3D">
              <w:t>$7,629,654.41</w:t>
            </w:r>
          </w:p>
        </w:tc>
        <w:tc>
          <w:tcPr>
            <w:tcW w:w="1531" w:type="dxa"/>
            <w:tcBorders>
              <w:top w:val="single" w:sz="4" w:space="0" w:color="auto"/>
              <w:left w:val="nil"/>
              <w:bottom w:val="single" w:sz="12" w:space="0" w:color="auto"/>
              <w:right w:val="nil"/>
            </w:tcBorders>
          </w:tcPr>
          <w:p w:rsidR="00AB2B3D" w:rsidRPr="00AB2B3D" w:rsidRDefault="00AB2B3D" w:rsidP="00AB2B3D">
            <w:pPr>
              <w:pStyle w:val="Tabletextcentred"/>
            </w:pPr>
          </w:p>
        </w:tc>
        <w:tc>
          <w:tcPr>
            <w:tcW w:w="1531" w:type="dxa"/>
            <w:tcBorders>
              <w:top w:val="single" w:sz="4" w:space="0" w:color="auto"/>
              <w:left w:val="nil"/>
              <w:bottom w:val="single" w:sz="12" w:space="0" w:color="auto"/>
              <w:right w:val="nil"/>
            </w:tcBorders>
          </w:tcPr>
          <w:p w:rsidR="00AB2B3D" w:rsidRPr="00AB2B3D" w:rsidRDefault="00AB2B3D" w:rsidP="00AB2B3D">
            <w:pPr>
              <w:pStyle w:val="Tabletextcentred"/>
            </w:pPr>
          </w:p>
        </w:tc>
        <w:tc>
          <w:tcPr>
            <w:tcW w:w="1542" w:type="dxa"/>
            <w:tcBorders>
              <w:top w:val="single" w:sz="4" w:space="0" w:color="auto"/>
              <w:left w:val="nil"/>
              <w:bottom w:val="single" w:sz="12" w:space="0" w:color="auto"/>
              <w:right w:val="nil"/>
            </w:tcBorders>
          </w:tcPr>
          <w:p w:rsidR="00AB2B3D" w:rsidRPr="00AB2B3D" w:rsidRDefault="00AB2B3D" w:rsidP="00AB2B3D">
            <w:pPr>
              <w:pStyle w:val="Tabletextcentred"/>
            </w:pPr>
          </w:p>
        </w:tc>
        <w:tc>
          <w:tcPr>
            <w:tcW w:w="1695" w:type="dxa"/>
            <w:tcBorders>
              <w:top w:val="single" w:sz="4" w:space="0" w:color="auto"/>
              <w:left w:val="nil"/>
              <w:bottom w:val="single" w:sz="12" w:space="0" w:color="auto"/>
              <w:right w:val="nil"/>
            </w:tcBorders>
          </w:tcPr>
          <w:p w:rsidR="00AB2B3D" w:rsidRPr="00AB2B3D" w:rsidRDefault="00AB2B3D" w:rsidP="00AB2B3D">
            <w:pPr>
              <w:pStyle w:val="Tabletextcentred"/>
            </w:pPr>
            <w:r w:rsidRPr="00AB2B3D">
              <w:t>$7,629,654.41</w:t>
            </w:r>
          </w:p>
        </w:tc>
      </w:tr>
    </w:tbl>
    <w:p w:rsidR="00AB2B3D" w:rsidRPr="00004BCB" w:rsidRDefault="00AB2B3D" w:rsidP="00AE320B"/>
    <w:p w:rsidR="00AE320B" w:rsidRDefault="00AE320B" w:rsidP="00AE320B">
      <w:pPr>
        <w:pStyle w:val="Heading2"/>
        <w:keepLines/>
      </w:pPr>
      <w:bookmarkStart w:id="10" w:name="_Toc530992294"/>
      <w:bookmarkStart w:id="11" w:name="_Toc531006538"/>
      <w:r>
        <w:t>Service level performance: relay service provider</w:t>
      </w:r>
      <w:bookmarkEnd w:id="10"/>
      <w:bookmarkEnd w:id="11"/>
    </w:p>
    <w:p w:rsidR="00AE320B" w:rsidRPr="00513188" w:rsidRDefault="00AE320B" w:rsidP="00AE320B">
      <w:pPr>
        <w:keepNext/>
      </w:pPr>
      <w:r>
        <w:t xml:space="preserve">For 2018–19, service levels were amended to incorporate changes resulting from the International Telecommunications Union Standardisation for Relay Services. </w:t>
      </w:r>
      <w:r w:rsidRPr="00513188">
        <w:t xml:space="preserve">The relay service provider’s </w:t>
      </w:r>
      <w:r>
        <w:t>performance in 2018–19 is</w:t>
      </w:r>
      <w:r w:rsidRPr="00513188">
        <w:t xml:space="preserve"> measured monthly against the following service levels:</w:t>
      </w:r>
    </w:p>
    <w:p w:rsidR="00AE320B" w:rsidRPr="00513188" w:rsidRDefault="00AE320B" w:rsidP="00AE320B">
      <w:pPr>
        <w:pStyle w:val="Bulletlevel1"/>
        <w:keepNext/>
        <w:keepLines/>
      </w:pPr>
      <w:r w:rsidRPr="00A35060">
        <w:rPr>
          <w:b/>
        </w:rPr>
        <w:t>Service level 1 (a):</w:t>
      </w:r>
      <w:r w:rsidRPr="00513188">
        <w:t xml:space="preserve"> </w:t>
      </w:r>
      <w:r w:rsidRPr="002B7B0D">
        <w:t xml:space="preserve">for each month for calls to the ‘106’ text emergency number and the Triple Zero emergency call number, </w:t>
      </w:r>
      <w:r w:rsidRPr="00513188">
        <w:t>at least 85 per cent of calls are answered by a call taker within five seconds of reaching the relevant answering point for the call</w:t>
      </w:r>
      <w:r>
        <w:t>.</w:t>
      </w:r>
    </w:p>
    <w:p w:rsidR="00AE320B" w:rsidRPr="00513188" w:rsidRDefault="00AE320B" w:rsidP="00AE320B">
      <w:pPr>
        <w:pStyle w:val="Bulletlevel1"/>
        <w:keepLines/>
      </w:pPr>
      <w:r w:rsidRPr="00A35060">
        <w:rPr>
          <w:b/>
        </w:rPr>
        <w:t>Service level 1 (b):</w:t>
      </w:r>
      <w:r w:rsidRPr="00513188">
        <w:t xml:space="preserve"> </w:t>
      </w:r>
      <w:r w:rsidRPr="002B7B0D">
        <w:t xml:space="preserve">for each month for calls to the ‘106’ text emergency number and the Triple Zero emergency call number, </w:t>
      </w:r>
      <w:r w:rsidRPr="00513188">
        <w:t>at least 95 per cent of calls are answered by a call taker within 10 seconds of reaching the relevant answering point for the call</w:t>
      </w:r>
      <w:r>
        <w:t>.</w:t>
      </w:r>
    </w:p>
    <w:p w:rsidR="00AE320B" w:rsidRPr="00513188" w:rsidRDefault="00AE320B" w:rsidP="00AE320B">
      <w:pPr>
        <w:pStyle w:val="Bulletlevel1"/>
      </w:pPr>
      <w:r w:rsidRPr="00A35060">
        <w:rPr>
          <w:b/>
        </w:rPr>
        <w:t>Service level 2:</w:t>
      </w:r>
      <w:r w:rsidRPr="00513188">
        <w:t xml:space="preserve"> n</w:t>
      </w:r>
      <w:r w:rsidRPr="00513188">
        <w:rPr>
          <w:snapToGrid w:val="0"/>
          <w:lang w:val="en-US"/>
        </w:rPr>
        <w:t>o more than two per cent of calls abandoned after leaving the Interactive Voice Response (IVR) or being presented to the call routing queue (monthly average)</w:t>
      </w:r>
      <w:r>
        <w:rPr>
          <w:snapToGrid w:val="0"/>
          <w:lang w:val="en-US"/>
        </w:rPr>
        <w:t>.</w:t>
      </w:r>
    </w:p>
    <w:p w:rsidR="00AE320B" w:rsidRDefault="00AE320B" w:rsidP="00AE320B">
      <w:pPr>
        <w:pStyle w:val="Bulletlevel1"/>
      </w:pPr>
      <w:r w:rsidRPr="00A35060">
        <w:rPr>
          <w:b/>
        </w:rPr>
        <w:lastRenderedPageBreak/>
        <w:t>Service level 3:</w:t>
      </w:r>
      <w:r w:rsidRPr="00513188">
        <w:t xml:space="preserve"> no less than 95 per cent raw a</w:t>
      </w:r>
      <w:r>
        <w:t>ccuracy of words (excluding V</w:t>
      </w:r>
      <w:r w:rsidRPr="00513188">
        <w:t xml:space="preserve">ideo </w:t>
      </w:r>
      <w:r>
        <w:t>R</w:t>
      </w:r>
      <w:r w:rsidRPr="00513188">
        <w:t>elay</w:t>
      </w:r>
      <w:r>
        <w:t xml:space="preserve"> calls</w:t>
      </w:r>
      <w:r w:rsidRPr="00513188">
        <w:t>). Raw accuracy is measured through monthly staff assessments of relay officers.</w:t>
      </w:r>
    </w:p>
    <w:p w:rsidR="00AE320B" w:rsidRDefault="00AE320B" w:rsidP="00AE320B">
      <w:pPr>
        <w:pStyle w:val="Bulletlevel1"/>
      </w:pPr>
      <w:r w:rsidRPr="002B7B0D">
        <w:rPr>
          <w:b/>
        </w:rPr>
        <w:t>Service level 4:</w:t>
      </w:r>
      <w:r>
        <w:t xml:space="preserve"> for each month, at least 85% of all other non-emergency calls (with the exception of Video Relay calls) are answered by a call take within 10 seconds.</w:t>
      </w:r>
    </w:p>
    <w:p w:rsidR="00AE320B" w:rsidRPr="00513188" w:rsidRDefault="00AE320B" w:rsidP="00AE320B">
      <w:pPr>
        <w:pStyle w:val="Bulletlevel1"/>
      </w:pPr>
      <w:r w:rsidRPr="002B7B0D">
        <w:rPr>
          <w:b/>
        </w:rPr>
        <w:t>Service level 5:</w:t>
      </w:r>
      <w:r>
        <w:t xml:space="preserve"> for each month, at least 80% of Video Relay calls are answered by a call taker within 120 seconds.</w:t>
      </w:r>
    </w:p>
    <w:p w:rsidR="00AE320B" w:rsidRDefault="00AE320B" w:rsidP="00AE320B">
      <w:pPr>
        <w:keepNext/>
      </w:pPr>
      <w:r w:rsidRPr="00513188">
        <w:t xml:space="preserve">The relay service provider’s </w:t>
      </w:r>
      <w:r>
        <w:t xml:space="preserve">reported </w:t>
      </w:r>
      <w:r w:rsidRPr="00513188">
        <w:t xml:space="preserve">performance </w:t>
      </w:r>
      <w:r>
        <w:t xml:space="preserve">over the 2018–19 financial year to date </w:t>
      </w:r>
      <w:r w:rsidRPr="00513188">
        <w:t>against these service levels is outlined in the table below</w:t>
      </w:r>
      <w:r>
        <w:t>.</w:t>
      </w:r>
    </w:p>
    <w:p w:rsidR="00AE320B" w:rsidRDefault="00AE320B" w:rsidP="00AE320B">
      <w:pPr>
        <w:pStyle w:val="Tablefigureheading"/>
      </w:pPr>
      <w:bookmarkStart w:id="12" w:name="_Toc530992302"/>
      <w:bookmarkStart w:id="13" w:name="_Toc531006545"/>
      <w:r>
        <w:t>Table 2. Service level performance: relay service provider</w:t>
      </w:r>
      <w:bookmarkEnd w:id="12"/>
      <w:bookmarkEnd w:id="13"/>
    </w:p>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 Service level performance: relay service provider."/>
      </w:tblPr>
      <w:tblGrid>
        <w:gridCol w:w="1701"/>
        <w:gridCol w:w="961"/>
        <w:gridCol w:w="1282"/>
        <w:gridCol w:w="1282"/>
        <w:gridCol w:w="1282"/>
        <w:gridCol w:w="1282"/>
        <w:gridCol w:w="1282"/>
      </w:tblGrid>
      <w:tr w:rsidR="00AE320B" w:rsidTr="009B6714">
        <w:trPr>
          <w:cantSplit/>
          <w:tblHeader/>
        </w:trPr>
        <w:tc>
          <w:tcPr>
            <w:tcW w:w="1701" w:type="dxa"/>
            <w:tcBorders>
              <w:top w:val="nil"/>
              <w:left w:val="nil"/>
              <w:bottom w:val="thickThinLargeGap" w:sz="24" w:space="0" w:color="auto"/>
              <w:right w:val="nil"/>
            </w:tcBorders>
            <w:shd w:val="clear" w:color="auto" w:fill="E4E4E4"/>
          </w:tcPr>
          <w:p w:rsidR="00AE320B" w:rsidRDefault="00AE320B" w:rsidP="009B6714">
            <w:pPr>
              <w:pStyle w:val="Tablerowcolumnheading"/>
            </w:pPr>
            <w:r>
              <w:t>Month</w:t>
            </w:r>
          </w:p>
        </w:tc>
        <w:tc>
          <w:tcPr>
            <w:tcW w:w="961" w:type="dxa"/>
            <w:tcBorders>
              <w:top w:val="nil"/>
              <w:left w:val="nil"/>
              <w:bottom w:val="thickThinLargeGap" w:sz="24" w:space="0" w:color="auto"/>
              <w:right w:val="nil"/>
            </w:tcBorders>
            <w:shd w:val="clear" w:color="auto" w:fill="E4E4E4"/>
          </w:tcPr>
          <w:p w:rsidR="00AE320B" w:rsidRDefault="00AE320B" w:rsidP="009B6714">
            <w:pPr>
              <w:pStyle w:val="Tableheadingcentred"/>
            </w:pPr>
            <w:r>
              <w:t>Service level 1(a)</w:t>
            </w:r>
          </w:p>
        </w:tc>
        <w:tc>
          <w:tcPr>
            <w:tcW w:w="1282" w:type="dxa"/>
            <w:tcBorders>
              <w:top w:val="nil"/>
              <w:left w:val="nil"/>
              <w:bottom w:val="thickThinLargeGap" w:sz="24" w:space="0" w:color="auto"/>
              <w:right w:val="nil"/>
            </w:tcBorders>
            <w:shd w:val="clear" w:color="auto" w:fill="E4E4E4"/>
          </w:tcPr>
          <w:p w:rsidR="00AE320B" w:rsidRDefault="00AE320B" w:rsidP="009B6714">
            <w:pPr>
              <w:pStyle w:val="Tableheadingcentred"/>
            </w:pPr>
            <w:r>
              <w:t>Service level 1(b)</w:t>
            </w:r>
          </w:p>
        </w:tc>
        <w:tc>
          <w:tcPr>
            <w:tcW w:w="1282" w:type="dxa"/>
            <w:tcBorders>
              <w:top w:val="nil"/>
              <w:left w:val="nil"/>
              <w:bottom w:val="thickThinLargeGap" w:sz="24" w:space="0" w:color="auto"/>
              <w:right w:val="nil"/>
            </w:tcBorders>
            <w:shd w:val="clear" w:color="auto" w:fill="E4E4E4"/>
          </w:tcPr>
          <w:p w:rsidR="00AE320B" w:rsidRDefault="00AE320B" w:rsidP="009B6714">
            <w:pPr>
              <w:pStyle w:val="Tableheadingcentred"/>
            </w:pPr>
            <w:r>
              <w:t>Service level 2</w:t>
            </w:r>
          </w:p>
        </w:tc>
        <w:tc>
          <w:tcPr>
            <w:tcW w:w="1282" w:type="dxa"/>
            <w:tcBorders>
              <w:top w:val="nil"/>
              <w:left w:val="nil"/>
              <w:bottom w:val="thickThinLargeGap" w:sz="24" w:space="0" w:color="auto"/>
              <w:right w:val="nil"/>
            </w:tcBorders>
            <w:shd w:val="clear" w:color="auto" w:fill="E4E4E4"/>
          </w:tcPr>
          <w:p w:rsidR="00AE320B" w:rsidRDefault="00AE320B" w:rsidP="009B6714">
            <w:pPr>
              <w:pStyle w:val="Tableheadingcentred"/>
            </w:pPr>
            <w:r>
              <w:t>Service level 3</w:t>
            </w:r>
          </w:p>
        </w:tc>
        <w:tc>
          <w:tcPr>
            <w:tcW w:w="1282" w:type="dxa"/>
            <w:tcBorders>
              <w:top w:val="nil"/>
              <w:left w:val="nil"/>
              <w:bottom w:val="thickThinLargeGap" w:sz="24" w:space="0" w:color="auto"/>
              <w:right w:val="nil"/>
            </w:tcBorders>
            <w:shd w:val="clear" w:color="auto" w:fill="E4E4E4"/>
          </w:tcPr>
          <w:p w:rsidR="00AE320B" w:rsidRDefault="00AE320B" w:rsidP="009B6714">
            <w:pPr>
              <w:pStyle w:val="Tableheadingcentred"/>
            </w:pPr>
            <w:r>
              <w:t>Service level 4</w:t>
            </w:r>
          </w:p>
        </w:tc>
        <w:tc>
          <w:tcPr>
            <w:tcW w:w="1282" w:type="dxa"/>
            <w:tcBorders>
              <w:top w:val="nil"/>
              <w:left w:val="nil"/>
              <w:bottom w:val="thickThinLargeGap" w:sz="24" w:space="0" w:color="auto"/>
              <w:right w:val="nil"/>
            </w:tcBorders>
            <w:shd w:val="clear" w:color="auto" w:fill="E4E4E4"/>
          </w:tcPr>
          <w:p w:rsidR="00AE320B" w:rsidRDefault="00AE320B" w:rsidP="009B6714">
            <w:pPr>
              <w:pStyle w:val="Tableheadingcentred"/>
            </w:pPr>
            <w:r>
              <w:t>Service level 5</w:t>
            </w:r>
          </w:p>
        </w:tc>
      </w:tr>
      <w:tr w:rsidR="00AE320B" w:rsidTr="009B6714">
        <w:trPr>
          <w:cantSplit/>
        </w:trPr>
        <w:tc>
          <w:tcPr>
            <w:tcW w:w="1701" w:type="dxa"/>
            <w:tcBorders>
              <w:top w:val="thickThinLargeGap" w:sz="24" w:space="0" w:color="auto"/>
              <w:left w:val="nil"/>
              <w:bottom w:val="single" w:sz="4" w:space="0" w:color="auto"/>
              <w:right w:val="nil"/>
            </w:tcBorders>
          </w:tcPr>
          <w:p w:rsidR="00AE320B" w:rsidRDefault="00AE320B" w:rsidP="009B6714">
            <w:pPr>
              <w:pStyle w:val="Tabletext"/>
            </w:pPr>
            <w:r>
              <w:t>July 2018</w:t>
            </w:r>
          </w:p>
        </w:tc>
        <w:tc>
          <w:tcPr>
            <w:tcW w:w="961" w:type="dxa"/>
            <w:tcBorders>
              <w:top w:val="thickThinLargeGap" w:sz="24" w:space="0" w:color="auto"/>
              <w:left w:val="nil"/>
              <w:bottom w:val="single" w:sz="4" w:space="0" w:color="auto"/>
              <w:right w:val="nil"/>
            </w:tcBorders>
          </w:tcPr>
          <w:p w:rsidR="00AE320B" w:rsidRDefault="00AE320B" w:rsidP="009B6714">
            <w:pPr>
              <w:pStyle w:val="Tabletextcentred"/>
            </w:pPr>
            <w:r>
              <w:t>99.94</w:t>
            </w:r>
            <w:r w:rsidRPr="00667DD4">
              <w:t>%</w:t>
            </w:r>
          </w:p>
        </w:tc>
        <w:tc>
          <w:tcPr>
            <w:tcW w:w="1282" w:type="dxa"/>
            <w:tcBorders>
              <w:top w:val="thickThinLargeGap" w:sz="24" w:space="0" w:color="auto"/>
              <w:left w:val="nil"/>
              <w:bottom w:val="single" w:sz="4" w:space="0" w:color="auto"/>
              <w:right w:val="nil"/>
            </w:tcBorders>
          </w:tcPr>
          <w:p w:rsidR="00AE320B" w:rsidRDefault="00AE320B" w:rsidP="009B6714">
            <w:pPr>
              <w:pStyle w:val="Tabletextcentred"/>
            </w:pPr>
            <w:r>
              <w:rPr>
                <w:sz w:val="20"/>
              </w:rPr>
              <w:t>99</w:t>
            </w:r>
            <w:r w:rsidRPr="00667DD4">
              <w:rPr>
                <w:sz w:val="20"/>
              </w:rPr>
              <w:t>.</w:t>
            </w:r>
            <w:r>
              <w:rPr>
                <w:sz w:val="20"/>
              </w:rPr>
              <w:t>97</w:t>
            </w:r>
            <w:r w:rsidRPr="00667DD4">
              <w:rPr>
                <w:sz w:val="20"/>
              </w:rPr>
              <w:t>%</w:t>
            </w:r>
          </w:p>
        </w:tc>
        <w:tc>
          <w:tcPr>
            <w:tcW w:w="1282" w:type="dxa"/>
            <w:tcBorders>
              <w:top w:val="thickThinLargeGap" w:sz="24" w:space="0" w:color="auto"/>
              <w:left w:val="nil"/>
              <w:bottom w:val="single" w:sz="4" w:space="0" w:color="auto"/>
              <w:right w:val="nil"/>
            </w:tcBorders>
          </w:tcPr>
          <w:p w:rsidR="00AE320B" w:rsidRDefault="00AE320B" w:rsidP="009B6714">
            <w:pPr>
              <w:pStyle w:val="Tabletextcentred"/>
            </w:pPr>
            <w:r>
              <w:rPr>
                <w:sz w:val="20"/>
              </w:rPr>
              <w:t>2</w:t>
            </w:r>
            <w:r w:rsidRPr="00667DD4">
              <w:rPr>
                <w:sz w:val="20"/>
              </w:rPr>
              <w:t>.</w:t>
            </w:r>
            <w:r>
              <w:rPr>
                <w:sz w:val="20"/>
              </w:rPr>
              <w:t>21</w:t>
            </w:r>
            <w:r w:rsidRPr="00667DD4">
              <w:rPr>
                <w:sz w:val="20"/>
              </w:rPr>
              <w:t>%</w:t>
            </w:r>
          </w:p>
        </w:tc>
        <w:tc>
          <w:tcPr>
            <w:tcW w:w="1282" w:type="dxa"/>
            <w:tcBorders>
              <w:top w:val="thickThinLargeGap" w:sz="24" w:space="0" w:color="auto"/>
              <w:left w:val="nil"/>
              <w:bottom w:val="single" w:sz="4" w:space="0" w:color="auto"/>
              <w:right w:val="nil"/>
            </w:tcBorders>
            <w:vAlign w:val="center"/>
          </w:tcPr>
          <w:p w:rsidR="00AE320B" w:rsidRPr="00667DD4" w:rsidRDefault="00AE320B" w:rsidP="009B6714">
            <w:pPr>
              <w:pStyle w:val="Tabletextcentred"/>
              <w:rPr>
                <w:sz w:val="20"/>
              </w:rPr>
            </w:pPr>
            <w:r>
              <w:rPr>
                <w:rFonts w:eastAsiaTheme="minorEastAsia"/>
                <w:snapToGrid w:val="0"/>
                <w:sz w:val="20"/>
                <w:lang w:val="en-US"/>
              </w:rPr>
              <w:t>98</w:t>
            </w:r>
            <w:r w:rsidRPr="00667DD4">
              <w:rPr>
                <w:rFonts w:eastAsiaTheme="minorEastAsia"/>
                <w:snapToGrid w:val="0"/>
                <w:sz w:val="20"/>
                <w:lang w:val="en-US"/>
              </w:rPr>
              <w:t>.</w:t>
            </w:r>
            <w:r>
              <w:rPr>
                <w:rFonts w:eastAsiaTheme="minorEastAsia"/>
                <w:snapToGrid w:val="0"/>
                <w:sz w:val="20"/>
                <w:lang w:val="en-US"/>
              </w:rPr>
              <w:t>91</w:t>
            </w:r>
            <w:r w:rsidRPr="00667DD4">
              <w:rPr>
                <w:rFonts w:eastAsiaTheme="minorEastAsia"/>
                <w:snapToGrid w:val="0"/>
                <w:sz w:val="20"/>
                <w:lang w:val="en-US"/>
              </w:rPr>
              <w:t>%</w:t>
            </w:r>
          </w:p>
        </w:tc>
        <w:tc>
          <w:tcPr>
            <w:tcW w:w="1282" w:type="dxa"/>
            <w:tcBorders>
              <w:top w:val="thickThinLargeGap" w:sz="24" w:space="0" w:color="auto"/>
              <w:left w:val="nil"/>
              <w:bottom w:val="single" w:sz="4" w:space="0" w:color="auto"/>
              <w:right w:val="nil"/>
            </w:tcBorders>
          </w:tcPr>
          <w:p w:rsidR="00AE320B" w:rsidRPr="00667DD4" w:rsidRDefault="00AE320B" w:rsidP="009B6714">
            <w:pPr>
              <w:pStyle w:val="Tabletextcentred"/>
              <w:rPr>
                <w:rFonts w:eastAsiaTheme="minorEastAsia"/>
                <w:snapToGrid w:val="0"/>
                <w:sz w:val="20"/>
                <w:lang w:val="en-US"/>
              </w:rPr>
            </w:pPr>
            <w:r>
              <w:rPr>
                <w:rFonts w:eastAsiaTheme="minorEastAsia"/>
                <w:snapToGrid w:val="0"/>
                <w:sz w:val="20"/>
                <w:lang w:val="en-US"/>
              </w:rPr>
              <w:t>86.42%</w:t>
            </w:r>
          </w:p>
        </w:tc>
        <w:tc>
          <w:tcPr>
            <w:tcW w:w="1282" w:type="dxa"/>
            <w:tcBorders>
              <w:top w:val="thickThinLargeGap" w:sz="24" w:space="0" w:color="auto"/>
              <w:left w:val="nil"/>
              <w:bottom w:val="single" w:sz="4" w:space="0" w:color="auto"/>
              <w:right w:val="nil"/>
            </w:tcBorders>
          </w:tcPr>
          <w:p w:rsidR="00AE320B" w:rsidRPr="00667DD4" w:rsidRDefault="00AE320B" w:rsidP="009B6714">
            <w:pPr>
              <w:pStyle w:val="Tabletextcentred"/>
              <w:rPr>
                <w:rFonts w:eastAsiaTheme="minorEastAsia"/>
                <w:snapToGrid w:val="0"/>
                <w:sz w:val="20"/>
                <w:lang w:val="en-US"/>
              </w:rPr>
            </w:pPr>
            <w:r>
              <w:rPr>
                <w:rFonts w:eastAsiaTheme="minorEastAsia"/>
                <w:snapToGrid w:val="0"/>
                <w:sz w:val="20"/>
                <w:lang w:val="en-US"/>
              </w:rPr>
              <w:t>98.91%</w:t>
            </w:r>
          </w:p>
        </w:tc>
      </w:tr>
      <w:tr w:rsidR="00AE320B" w:rsidTr="009B6714">
        <w:trPr>
          <w:cantSplit/>
        </w:trPr>
        <w:tc>
          <w:tcPr>
            <w:tcW w:w="1701" w:type="dxa"/>
            <w:tcBorders>
              <w:top w:val="single" w:sz="4" w:space="0" w:color="auto"/>
              <w:left w:val="nil"/>
              <w:bottom w:val="single" w:sz="4" w:space="0" w:color="auto"/>
              <w:right w:val="nil"/>
            </w:tcBorders>
          </w:tcPr>
          <w:p w:rsidR="00AE320B" w:rsidRDefault="00AE320B" w:rsidP="009B6714">
            <w:pPr>
              <w:pStyle w:val="Tabletext"/>
            </w:pPr>
            <w:r>
              <w:t>August 2018</w:t>
            </w:r>
          </w:p>
        </w:tc>
        <w:tc>
          <w:tcPr>
            <w:tcW w:w="961" w:type="dxa"/>
            <w:tcBorders>
              <w:top w:val="single" w:sz="4" w:space="0" w:color="auto"/>
              <w:left w:val="nil"/>
              <w:bottom w:val="single" w:sz="4" w:space="0" w:color="auto"/>
              <w:right w:val="nil"/>
            </w:tcBorders>
          </w:tcPr>
          <w:p w:rsidR="00AE320B" w:rsidRDefault="00AE320B" w:rsidP="009B6714">
            <w:pPr>
              <w:pStyle w:val="Tabletextcentred"/>
            </w:pPr>
            <w:r>
              <w:rPr>
                <w:sz w:val="20"/>
              </w:rPr>
              <w:t>99</w:t>
            </w:r>
            <w:r w:rsidRPr="00667DD4">
              <w:rPr>
                <w:sz w:val="20"/>
              </w:rPr>
              <w:t>.</w:t>
            </w:r>
            <w:r>
              <w:rPr>
                <w:sz w:val="20"/>
              </w:rPr>
              <w:t>92</w:t>
            </w:r>
            <w:r w:rsidRPr="00667DD4">
              <w:rPr>
                <w:sz w:val="20"/>
              </w:rPr>
              <w:t>%</w:t>
            </w:r>
          </w:p>
        </w:tc>
        <w:tc>
          <w:tcPr>
            <w:tcW w:w="1282" w:type="dxa"/>
            <w:tcBorders>
              <w:top w:val="single" w:sz="4" w:space="0" w:color="auto"/>
              <w:left w:val="nil"/>
              <w:bottom w:val="single" w:sz="4" w:space="0" w:color="auto"/>
              <w:right w:val="nil"/>
            </w:tcBorders>
          </w:tcPr>
          <w:p w:rsidR="00AE320B" w:rsidRDefault="00AE320B" w:rsidP="009B6714">
            <w:pPr>
              <w:pStyle w:val="Tabletextcentred"/>
            </w:pPr>
            <w:r>
              <w:rPr>
                <w:sz w:val="20"/>
              </w:rPr>
              <w:t>99</w:t>
            </w:r>
            <w:r w:rsidRPr="00667DD4">
              <w:rPr>
                <w:sz w:val="20"/>
              </w:rPr>
              <w:t>.</w:t>
            </w:r>
            <w:r>
              <w:rPr>
                <w:sz w:val="20"/>
              </w:rPr>
              <w:t>9</w:t>
            </w:r>
            <w:r w:rsidRPr="00667DD4">
              <w:rPr>
                <w:sz w:val="20"/>
              </w:rPr>
              <w:t>7%</w:t>
            </w:r>
          </w:p>
        </w:tc>
        <w:tc>
          <w:tcPr>
            <w:tcW w:w="1282" w:type="dxa"/>
            <w:tcBorders>
              <w:top w:val="single" w:sz="4" w:space="0" w:color="auto"/>
              <w:left w:val="nil"/>
              <w:bottom w:val="single" w:sz="4" w:space="0" w:color="auto"/>
              <w:right w:val="nil"/>
            </w:tcBorders>
          </w:tcPr>
          <w:p w:rsidR="00AE320B" w:rsidRDefault="00AE320B" w:rsidP="009B6714">
            <w:pPr>
              <w:pStyle w:val="Tabletextcentred"/>
            </w:pPr>
            <w:r>
              <w:rPr>
                <w:sz w:val="20"/>
              </w:rPr>
              <w:t>1</w:t>
            </w:r>
            <w:r w:rsidRPr="00667DD4">
              <w:rPr>
                <w:sz w:val="20"/>
              </w:rPr>
              <w:t>.</w:t>
            </w:r>
            <w:r>
              <w:rPr>
                <w:sz w:val="20"/>
              </w:rPr>
              <w:t>73</w:t>
            </w:r>
            <w:r w:rsidRPr="00667DD4">
              <w:rPr>
                <w:sz w:val="20"/>
              </w:rPr>
              <w:t>%</w:t>
            </w:r>
          </w:p>
        </w:tc>
        <w:tc>
          <w:tcPr>
            <w:tcW w:w="1282" w:type="dxa"/>
            <w:tcBorders>
              <w:top w:val="single" w:sz="4" w:space="0" w:color="auto"/>
              <w:left w:val="nil"/>
              <w:bottom w:val="single" w:sz="4" w:space="0" w:color="auto"/>
              <w:right w:val="nil"/>
            </w:tcBorders>
          </w:tcPr>
          <w:p w:rsidR="00AE320B" w:rsidRDefault="00AE320B" w:rsidP="009B6714">
            <w:pPr>
              <w:pStyle w:val="Tabletextcentred"/>
            </w:pPr>
            <w:r w:rsidRPr="00667DD4">
              <w:rPr>
                <w:rFonts w:eastAsiaTheme="minorEastAsia"/>
                <w:snapToGrid w:val="0"/>
                <w:sz w:val="20"/>
                <w:lang w:val="en-US"/>
              </w:rPr>
              <w:t>97.</w:t>
            </w:r>
            <w:r>
              <w:rPr>
                <w:rFonts w:eastAsiaTheme="minorEastAsia"/>
                <w:snapToGrid w:val="0"/>
                <w:sz w:val="20"/>
                <w:lang w:val="en-US"/>
              </w:rPr>
              <w:t>88</w:t>
            </w:r>
            <w:r w:rsidRPr="00667DD4">
              <w:rPr>
                <w:rFonts w:eastAsiaTheme="minorEastAsia"/>
                <w:snapToGrid w:val="0"/>
                <w:sz w:val="20"/>
                <w:lang w:val="en-US"/>
              </w:rPr>
              <w:t>%</w:t>
            </w:r>
          </w:p>
        </w:tc>
        <w:tc>
          <w:tcPr>
            <w:tcW w:w="1282" w:type="dxa"/>
            <w:tcBorders>
              <w:top w:val="single" w:sz="4" w:space="0" w:color="auto"/>
              <w:left w:val="nil"/>
              <w:bottom w:val="single" w:sz="4" w:space="0" w:color="auto"/>
              <w:right w:val="nil"/>
            </w:tcBorders>
          </w:tcPr>
          <w:p w:rsidR="00AE320B" w:rsidRPr="00667DD4" w:rsidRDefault="00AE320B" w:rsidP="009B6714">
            <w:pPr>
              <w:pStyle w:val="Tabletextcentred"/>
              <w:rPr>
                <w:rFonts w:eastAsiaTheme="minorEastAsia"/>
                <w:snapToGrid w:val="0"/>
                <w:sz w:val="20"/>
                <w:lang w:val="en-US"/>
              </w:rPr>
            </w:pPr>
            <w:r>
              <w:rPr>
                <w:rFonts w:eastAsiaTheme="minorEastAsia"/>
                <w:snapToGrid w:val="0"/>
                <w:sz w:val="20"/>
                <w:lang w:val="en-US"/>
              </w:rPr>
              <w:t>91.57%</w:t>
            </w:r>
          </w:p>
        </w:tc>
        <w:tc>
          <w:tcPr>
            <w:tcW w:w="1282" w:type="dxa"/>
            <w:tcBorders>
              <w:top w:val="single" w:sz="4" w:space="0" w:color="auto"/>
              <w:left w:val="nil"/>
              <w:bottom w:val="single" w:sz="4" w:space="0" w:color="auto"/>
              <w:right w:val="nil"/>
            </w:tcBorders>
          </w:tcPr>
          <w:p w:rsidR="00AE320B" w:rsidRPr="00667DD4" w:rsidRDefault="00AE320B" w:rsidP="009B6714">
            <w:pPr>
              <w:pStyle w:val="Tabletextcentred"/>
              <w:rPr>
                <w:rFonts w:eastAsiaTheme="minorEastAsia"/>
                <w:snapToGrid w:val="0"/>
                <w:sz w:val="20"/>
                <w:lang w:val="en-US"/>
              </w:rPr>
            </w:pPr>
            <w:r>
              <w:rPr>
                <w:rFonts w:eastAsiaTheme="minorEastAsia"/>
                <w:snapToGrid w:val="0"/>
                <w:sz w:val="20"/>
                <w:lang w:val="en-US"/>
              </w:rPr>
              <w:t>99.06%</w:t>
            </w:r>
          </w:p>
        </w:tc>
      </w:tr>
      <w:tr w:rsidR="00AE320B" w:rsidTr="009B6714">
        <w:trPr>
          <w:cantSplit/>
        </w:trPr>
        <w:tc>
          <w:tcPr>
            <w:tcW w:w="1701" w:type="dxa"/>
            <w:tcBorders>
              <w:top w:val="single" w:sz="4" w:space="0" w:color="auto"/>
              <w:left w:val="nil"/>
              <w:bottom w:val="single" w:sz="4" w:space="0" w:color="auto"/>
              <w:right w:val="nil"/>
            </w:tcBorders>
          </w:tcPr>
          <w:p w:rsidR="00AE320B" w:rsidRDefault="00AE320B" w:rsidP="009B6714">
            <w:pPr>
              <w:pStyle w:val="Tabletext"/>
            </w:pPr>
            <w:r>
              <w:t>September 2018</w:t>
            </w:r>
          </w:p>
        </w:tc>
        <w:tc>
          <w:tcPr>
            <w:tcW w:w="961" w:type="dxa"/>
            <w:tcBorders>
              <w:top w:val="single" w:sz="4" w:space="0" w:color="auto"/>
              <w:left w:val="nil"/>
              <w:bottom w:val="single" w:sz="4" w:space="0" w:color="auto"/>
              <w:right w:val="nil"/>
            </w:tcBorders>
          </w:tcPr>
          <w:p w:rsidR="00AE320B" w:rsidRDefault="00AE320B" w:rsidP="009B6714">
            <w:pPr>
              <w:pStyle w:val="Tabletextcentred"/>
            </w:pPr>
            <w:r>
              <w:rPr>
                <w:sz w:val="20"/>
              </w:rPr>
              <w:t>99.98</w:t>
            </w:r>
            <w:r w:rsidRPr="00667DD4">
              <w:rPr>
                <w:sz w:val="20"/>
              </w:rPr>
              <w:t>%</w:t>
            </w:r>
          </w:p>
        </w:tc>
        <w:tc>
          <w:tcPr>
            <w:tcW w:w="1282" w:type="dxa"/>
            <w:tcBorders>
              <w:top w:val="single" w:sz="4" w:space="0" w:color="auto"/>
              <w:left w:val="nil"/>
              <w:bottom w:val="single" w:sz="4" w:space="0" w:color="auto"/>
              <w:right w:val="nil"/>
            </w:tcBorders>
          </w:tcPr>
          <w:p w:rsidR="00AE320B" w:rsidRDefault="00AE320B" w:rsidP="009B6714">
            <w:pPr>
              <w:pStyle w:val="Tabletextcentred"/>
            </w:pPr>
            <w:r>
              <w:rPr>
                <w:sz w:val="20"/>
              </w:rPr>
              <w:t>99</w:t>
            </w:r>
            <w:r w:rsidRPr="00667DD4">
              <w:rPr>
                <w:sz w:val="20"/>
              </w:rPr>
              <w:t>.</w:t>
            </w:r>
            <w:r>
              <w:rPr>
                <w:sz w:val="20"/>
              </w:rPr>
              <w:t>98</w:t>
            </w:r>
            <w:r w:rsidRPr="00667DD4">
              <w:rPr>
                <w:sz w:val="20"/>
              </w:rPr>
              <w:t>%</w:t>
            </w:r>
          </w:p>
        </w:tc>
        <w:tc>
          <w:tcPr>
            <w:tcW w:w="1282" w:type="dxa"/>
            <w:tcBorders>
              <w:top w:val="single" w:sz="4" w:space="0" w:color="auto"/>
              <w:left w:val="nil"/>
              <w:bottom w:val="single" w:sz="4" w:space="0" w:color="auto"/>
              <w:right w:val="nil"/>
            </w:tcBorders>
          </w:tcPr>
          <w:p w:rsidR="00AE320B" w:rsidRDefault="00AE320B" w:rsidP="009B6714">
            <w:pPr>
              <w:pStyle w:val="Tabletextcentred"/>
            </w:pPr>
            <w:r>
              <w:rPr>
                <w:sz w:val="20"/>
              </w:rPr>
              <w:t>1</w:t>
            </w:r>
            <w:r w:rsidRPr="00667DD4">
              <w:rPr>
                <w:sz w:val="20"/>
              </w:rPr>
              <w:t>.</w:t>
            </w:r>
            <w:r>
              <w:rPr>
                <w:sz w:val="20"/>
              </w:rPr>
              <w:t>58</w:t>
            </w:r>
            <w:r w:rsidRPr="00667DD4">
              <w:rPr>
                <w:sz w:val="20"/>
              </w:rPr>
              <w:t>%</w:t>
            </w:r>
          </w:p>
        </w:tc>
        <w:tc>
          <w:tcPr>
            <w:tcW w:w="1282" w:type="dxa"/>
            <w:tcBorders>
              <w:top w:val="single" w:sz="4" w:space="0" w:color="auto"/>
              <w:left w:val="nil"/>
              <w:bottom w:val="single" w:sz="4" w:space="0" w:color="auto"/>
              <w:right w:val="nil"/>
            </w:tcBorders>
          </w:tcPr>
          <w:p w:rsidR="00AE320B" w:rsidRDefault="00AE320B" w:rsidP="009B6714">
            <w:pPr>
              <w:pStyle w:val="Tabletextcentred"/>
            </w:pPr>
            <w:r w:rsidRPr="00667DD4">
              <w:rPr>
                <w:rFonts w:eastAsiaTheme="minorEastAsia"/>
                <w:snapToGrid w:val="0"/>
                <w:sz w:val="20"/>
                <w:lang w:val="en-US"/>
              </w:rPr>
              <w:t>97.</w:t>
            </w:r>
            <w:r>
              <w:rPr>
                <w:rFonts w:eastAsiaTheme="minorEastAsia"/>
                <w:snapToGrid w:val="0"/>
                <w:sz w:val="20"/>
                <w:lang w:val="en-US"/>
              </w:rPr>
              <w:t>94</w:t>
            </w:r>
            <w:r w:rsidRPr="00667DD4">
              <w:rPr>
                <w:rFonts w:eastAsiaTheme="minorEastAsia"/>
                <w:snapToGrid w:val="0"/>
                <w:sz w:val="20"/>
                <w:lang w:val="en-US"/>
              </w:rPr>
              <w:t>%</w:t>
            </w:r>
          </w:p>
        </w:tc>
        <w:tc>
          <w:tcPr>
            <w:tcW w:w="1282" w:type="dxa"/>
            <w:tcBorders>
              <w:top w:val="single" w:sz="4" w:space="0" w:color="auto"/>
              <w:left w:val="nil"/>
              <w:bottom w:val="single" w:sz="4" w:space="0" w:color="auto"/>
              <w:right w:val="nil"/>
            </w:tcBorders>
          </w:tcPr>
          <w:p w:rsidR="00AE320B" w:rsidRPr="00667DD4" w:rsidRDefault="00AE320B" w:rsidP="009B6714">
            <w:pPr>
              <w:pStyle w:val="Tabletextcentred"/>
              <w:rPr>
                <w:rFonts w:eastAsiaTheme="minorEastAsia"/>
                <w:snapToGrid w:val="0"/>
                <w:sz w:val="20"/>
                <w:lang w:val="en-US"/>
              </w:rPr>
            </w:pPr>
            <w:r>
              <w:rPr>
                <w:rFonts w:eastAsiaTheme="minorEastAsia"/>
                <w:snapToGrid w:val="0"/>
                <w:sz w:val="20"/>
                <w:lang w:val="en-US"/>
              </w:rPr>
              <w:t>91.4%</w:t>
            </w:r>
          </w:p>
        </w:tc>
        <w:tc>
          <w:tcPr>
            <w:tcW w:w="1282" w:type="dxa"/>
            <w:tcBorders>
              <w:top w:val="single" w:sz="4" w:space="0" w:color="auto"/>
              <w:left w:val="nil"/>
              <w:bottom w:val="single" w:sz="4" w:space="0" w:color="auto"/>
              <w:right w:val="nil"/>
            </w:tcBorders>
          </w:tcPr>
          <w:p w:rsidR="00AE320B" w:rsidRPr="00667DD4" w:rsidRDefault="00AE320B" w:rsidP="009B6714">
            <w:pPr>
              <w:pStyle w:val="Tabletextcentred"/>
              <w:rPr>
                <w:rFonts w:eastAsiaTheme="minorEastAsia"/>
                <w:snapToGrid w:val="0"/>
                <w:sz w:val="20"/>
                <w:lang w:val="en-US"/>
              </w:rPr>
            </w:pPr>
            <w:r>
              <w:rPr>
                <w:rFonts w:eastAsiaTheme="minorEastAsia"/>
                <w:snapToGrid w:val="0"/>
                <w:sz w:val="20"/>
                <w:lang w:val="en-US"/>
              </w:rPr>
              <w:t>99.14%</w:t>
            </w:r>
          </w:p>
        </w:tc>
      </w:tr>
      <w:tr w:rsidR="00AE320B" w:rsidTr="009B6714">
        <w:trPr>
          <w:cantSplit/>
        </w:trPr>
        <w:tc>
          <w:tcPr>
            <w:tcW w:w="1701" w:type="dxa"/>
            <w:tcBorders>
              <w:top w:val="single" w:sz="4" w:space="0" w:color="auto"/>
              <w:left w:val="nil"/>
              <w:bottom w:val="single" w:sz="4" w:space="0" w:color="auto"/>
              <w:right w:val="nil"/>
            </w:tcBorders>
          </w:tcPr>
          <w:p w:rsidR="00AE320B" w:rsidRDefault="00AE320B" w:rsidP="009B6714">
            <w:pPr>
              <w:pStyle w:val="Tabletext"/>
            </w:pPr>
            <w:r>
              <w:t>October 2018</w:t>
            </w:r>
          </w:p>
        </w:tc>
        <w:tc>
          <w:tcPr>
            <w:tcW w:w="961"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Default="00AE320B" w:rsidP="009B6714">
            <w:pPr>
              <w:pStyle w:val="Tabletextcentred"/>
              <w:rPr>
                <w:sz w:val="20"/>
              </w:rPr>
            </w:pPr>
          </w:p>
        </w:tc>
      </w:tr>
      <w:tr w:rsidR="00AE320B" w:rsidTr="009B6714">
        <w:trPr>
          <w:cantSplit/>
        </w:trPr>
        <w:tc>
          <w:tcPr>
            <w:tcW w:w="1701" w:type="dxa"/>
            <w:tcBorders>
              <w:top w:val="single" w:sz="4" w:space="0" w:color="auto"/>
              <w:left w:val="nil"/>
              <w:bottom w:val="single" w:sz="4" w:space="0" w:color="auto"/>
              <w:right w:val="nil"/>
            </w:tcBorders>
          </w:tcPr>
          <w:p w:rsidR="00AE320B" w:rsidRDefault="00AE320B" w:rsidP="009B6714">
            <w:pPr>
              <w:pStyle w:val="Tabletext"/>
            </w:pPr>
            <w:r>
              <w:t>November 2018</w:t>
            </w:r>
          </w:p>
        </w:tc>
        <w:tc>
          <w:tcPr>
            <w:tcW w:w="961"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r>
      <w:tr w:rsidR="00AE320B" w:rsidTr="009B6714">
        <w:trPr>
          <w:cantSplit/>
        </w:trPr>
        <w:tc>
          <w:tcPr>
            <w:tcW w:w="1701" w:type="dxa"/>
            <w:tcBorders>
              <w:top w:val="single" w:sz="4" w:space="0" w:color="auto"/>
              <w:left w:val="nil"/>
              <w:bottom w:val="single" w:sz="4" w:space="0" w:color="auto"/>
              <w:right w:val="nil"/>
            </w:tcBorders>
          </w:tcPr>
          <w:p w:rsidR="00AE320B" w:rsidRDefault="00AE320B" w:rsidP="009B6714">
            <w:pPr>
              <w:pStyle w:val="Tabletext"/>
            </w:pPr>
            <w:r>
              <w:t>December 2018</w:t>
            </w:r>
          </w:p>
        </w:tc>
        <w:tc>
          <w:tcPr>
            <w:tcW w:w="961"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r>
      <w:tr w:rsidR="00AE320B" w:rsidTr="009B6714">
        <w:trPr>
          <w:cantSplit/>
        </w:trPr>
        <w:tc>
          <w:tcPr>
            <w:tcW w:w="1701" w:type="dxa"/>
            <w:tcBorders>
              <w:top w:val="single" w:sz="4" w:space="0" w:color="auto"/>
              <w:left w:val="nil"/>
              <w:bottom w:val="single" w:sz="4" w:space="0" w:color="auto"/>
              <w:right w:val="nil"/>
            </w:tcBorders>
          </w:tcPr>
          <w:p w:rsidR="00AE320B" w:rsidRDefault="00AE320B" w:rsidP="009B6714">
            <w:pPr>
              <w:pStyle w:val="Tabletext"/>
            </w:pPr>
            <w:r>
              <w:t>January 2019</w:t>
            </w:r>
          </w:p>
        </w:tc>
        <w:tc>
          <w:tcPr>
            <w:tcW w:w="961"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r>
      <w:tr w:rsidR="00AE320B" w:rsidTr="009B6714">
        <w:trPr>
          <w:cantSplit/>
        </w:trPr>
        <w:tc>
          <w:tcPr>
            <w:tcW w:w="1701" w:type="dxa"/>
            <w:tcBorders>
              <w:top w:val="single" w:sz="4" w:space="0" w:color="auto"/>
              <w:left w:val="nil"/>
              <w:bottom w:val="single" w:sz="4" w:space="0" w:color="auto"/>
              <w:right w:val="nil"/>
            </w:tcBorders>
          </w:tcPr>
          <w:p w:rsidR="00AE320B" w:rsidRDefault="00AE320B" w:rsidP="009B6714">
            <w:pPr>
              <w:pStyle w:val="Tabletext"/>
            </w:pPr>
            <w:r>
              <w:t>February 2019</w:t>
            </w:r>
          </w:p>
        </w:tc>
        <w:tc>
          <w:tcPr>
            <w:tcW w:w="961"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r>
      <w:tr w:rsidR="00AE320B" w:rsidTr="009B6714">
        <w:trPr>
          <w:cantSplit/>
        </w:trPr>
        <w:tc>
          <w:tcPr>
            <w:tcW w:w="1701" w:type="dxa"/>
            <w:tcBorders>
              <w:top w:val="single" w:sz="4" w:space="0" w:color="auto"/>
              <w:left w:val="nil"/>
              <w:bottom w:val="single" w:sz="4" w:space="0" w:color="auto"/>
              <w:right w:val="nil"/>
            </w:tcBorders>
          </w:tcPr>
          <w:p w:rsidR="00AE320B" w:rsidRDefault="00AE320B" w:rsidP="009B6714">
            <w:pPr>
              <w:pStyle w:val="Tabletext"/>
            </w:pPr>
            <w:r>
              <w:t>March 2019</w:t>
            </w:r>
          </w:p>
        </w:tc>
        <w:tc>
          <w:tcPr>
            <w:tcW w:w="961"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c>
          <w:tcPr>
            <w:tcW w:w="1282" w:type="dxa"/>
            <w:tcBorders>
              <w:top w:val="single" w:sz="4" w:space="0" w:color="auto"/>
              <w:left w:val="nil"/>
              <w:bottom w:val="single" w:sz="4" w:space="0" w:color="auto"/>
              <w:right w:val="nil"/>
            </w:tcBorders>
          </w:tcPr>
          <w:p w:rsidR="00AE320B" w:rsidRDefault="00AE320B" w:rsidP="009B6714">
            <w:pPr>
              <w:pStyle w:val="Tabletextcentred"/>
            </w:pPr>
          </w:p>
        </w:tc>
      </w:tr>
      <w:tr w:rsidR="00AE320B" w:rsidTr="009B6714">
        <w:trPr>
          <w:cantSplit/>
        </w:trPr>
        <w:tc>
          <w:tcPr>
            <w:tcW w:w="1701" w:type="dxa"/>
            <w:tcBorders>
              <w:top w:val="single" w:sz="4" w:space="0" w:color="auto"/>
              <w:left w:val="nil"/>
              <w:bottom w:val="single" w:sz="4" w:space="0" w:color="auto"/>
              <w:right w:val="nil"/>
            </w:tcBorders>
          </w:tcPr>
          <w:p w:rsidR="00AE320B" w:rsidRDefault="00AE320B" w:rsidP="009B6714">
            <w:pPr>
              <w:pStyle w:val="Tabletext"/>
            </w:pPr>
            <w:r>
              <w:t>April 2019</w:t>
            </w:r>
          </w:p>
        </w:tc>
        <w:tc>
          <w:tcPr>
            <w:tcW w:w="961"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c>
          <w:tcPr>
            <w:tcW w:w="1282"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Default="00AE320B" w:rsidP="009B6714">
            <w:pPr>
              <w:pStyle w:val="Tabletextcentred"/>
              <w:rPr>
                <w:sz w:val="20"/>
              </w:rPr>
            </w:pPr>
          </w:p>
        </w:tc>
      </w:tr>
      <w:tr w:rsidR="00AE320B" w:rsidTr="009B6714">
        <w:trPr>
          <w:cantSplit/>
        </w:trPr>
        <w:tc>
          <w:tcPr>
            <w:tcW w:w="1701" w:type="dxa"/>
            <w:tcBorders>
              <w:top w:val="single" w:sz="4" w:space="0" w:color="auto"/>
              <w:left w:val="nil"/>
              <w:bottom w:val="single" w:sz="4" w:space="0" w:color="auto"/>
              <w:right w:val="nil"/>
            </w:tcBorders>
          </w:tcPr>
          <w:p w:rsidR="00AE320B" w:rsidRDefault="00AE320B" w:rsidP="009B6714">
            <w:pPr>
              <w:pStyle w:val="Tabletext"/>
            </w:pPr>
            <w:r>
              <w:t>May 2019</w:t>
            </w:r>
          </w:p>
        </w:tc>
        <w:tc>
          <w:tcPr>
            <w:tcW w:w="961"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c>
          <w:tcPr>
            <w:tcW w:w="1282"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Default="00AE320B" w:rsidP="009B6714">
            <w:pPr>
              <w:pStyle w:val="Tabletextcentred"/>
              <w:rPr>
                <w:sz w:val="20"/>
              </w:rPr>
            </w:pPr>
          </w:p>
        </w:tc>
      </w:tr>
      <w:tr w:rsidR="00AE320B" w:rsidTr="009B6714">
        <w:trPr>
          <w:cantSplit/>
        </w:trPr>
        <w:tc>
          <w:tcPr>
            <w:tcW w:w="1701" w:type="dxa"/>
            <w:tcBorders>
              <w:top w:val="single" w:sz="4" w:space="0" w:color="auto"/>
              <w:left w:val="nil"/>
              <w:bottom w:val="single" w:sz="4" w:space="0" w:color="auto"/>
              <w:right w:val="nil"/>
            </w:tcBorders>
          </w:tcPr>
          <w:p w:rsidR="00AE320B" w:rsidRDefault="00AE320B" w:rsidP="009B6714">
            <w:pPr>
              <w:pStyle w:val="Tabletext"/>
            </w:pPr>
            <w:r>
              <w:t>June 2019</w:t>
            </w:r>
          </w:p>
        </w:tc>
        <w:tc>
          <w:tcPr>
            <w:tcW w:w="961"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c>
          <w:tcPr>
            <w:tcW w:w="1282"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Default="00AE320B" w:rsidP="009B6714">
            <w:pPr>
              <w:pStyle w:val="Tabletextcentred"/>
              <w:rPr>
                <w:sz w:val="20"/>
              </w:rPr>
            </w:pPr>
          </w:p>
        </w:tc>
        <w:tc>
          <w:tcPr>
            <w:tcW w:w="1282" w:type="dxa"/>
            <w:tcBorders>
              <w:top w:val="single" w:sz="4" w:space="0" w:color="auto"/>
              <w:left w:val="nil"/>
              <w:bottom w:val="single" w:sz="4" w:space="0" w:color="auto"/>
              <w:right w:val="nil"/>
            </w:tcBorders>
          </w:tcPr>
          <w:p w:rsidR="00AE320B" w:rsidRDefault="00AE320B" w:rsidP="009B6714">
            <w:pPr>
              <w:pStyle w:val="Tabletextcentred"/>
              <w:rPr>
                <w:sz w:val="20"/>
              </w:rPr>
            </w:pPr>
          </w:p>
        </w:tc>
      </w:tr>
    </w:tbl>
    <w:p w:rsidR="00AE320B" w:rsidRDefault="00AE320B" w:rsidP="00AE320B"/>
    <w:p w:rsidR="00AE320B" w:rsidRPr="003F16E1" w:rsidRDefault="00AE320B" w:rsidP="00AE320B">
      <w:r w:rsidRPr="001174E6">
        <w:t xml:space="preserve">The relay service provider has reported not fully meeting all service levels in </w:t>
      </w:r>
      <w:r>
        <w:t>Quarter 1, 2018</w:t>
      </w:r>
      <w:r w:rsidRPr="001174E6">
        <w:t>–1</w:t>
      </w:r>
      <w:r>
        <w:t>9;</w:t>
      </w:r>
      <w:r w:rsidRPr="001174E6">
        <w:t xml:space="preserve"> Service </w:t>
      </w:r>
      <w:r>
        <w:t>level 2</w:t>
      </w:r>
      <w:r w:rsidRPr="001174E6">
        <w:t xml:space="preserve"> was not met in </w:t>
      </w:r>
      <w:r>
        <w:t>July</w:t>
      </w:r>
      <w:r w:rsidRPr="001174E6">
        <w:t xml:space="preserve"> 2018.</w:t>
      </w:r>
    </w:p>
    <w:p w:rsidR="00AE320B" w:rsidRDefault="00AE320B" w:rsidP="00AE320B">
      <w:r w:rsidRPr="003F16E1">
        <w:t>The Department considers the performance of the relay service provider to not be consistent with its obligations under the Relay Services Agreement.</w:t>
      </w:r>
    </w:p>
    <w:p w:rsidR="00AE320B" w:rsidRDefault="00AE320B" w:rsidP="00AE320B">
      <w:pPr>
        <w:pStyle w:val="Heading2"/>
      </w:pPr>
      <w:bookmarkStart w:id="14" w:name="_Toc530992295"/>
      <w:bookmarkStart w:id="15" w:name="_Toc531006539"/>
      <w:r>
        <w:lastRenderedPageBreak/>
        <w:t>Service level performance: outreach service provider</w:t>
      </w:r>
      <w:bookmarkEnd w:id="14"/>
      <w:bookmarkEnd w:id="15"/>
    </w:p>
    <w:p w:rsidR="00AE320B" w:rsidRDefault="00AE320B" w:rsidP="00AE320B">
      <w:pPr>
        <w:keepNext/>
      </w:pPr>
      <w:r w:rsidRPr="000C5347">
        <w:t xml:space="preserve">The outreach service provider’s performance in </w:t>
      </w:r>
      <w:r>
        <w:t>2018–19</w:t>
      </w:r>
      <w:r w:rsidRPr="000C5347">
        <w:t xml:space="preserve"> </w:t>
      </w:r>
      <w:r>
        <w:t>is</w:t>
      </w:r>
      <w:r w:rsidRPr="000C5347">
        <w:t xml:space="preserve"> measured monthly against the following service levels:</w:t>
      </w:r>
    </w:p>
    <w:p w:rsidR="00AE320B" w:rsidRPr="000C5347" w:rsidRDefault="00AE320B" w:rsidP="00AE320B">
      <w:pPr>
        <w:pStyle w:val="Bulletlevel1"/>
        <w:keepNext/>
        <w:keepLines/>
      </w:pPr>
      <w:r w:rsidRPr="000C5347">
        <w:rPr>
          <w:b/>
        </w:rPr>
        <w:t>Service level 1:</w:t>
      </w:r>
      <w:r w:rsidRPr="000C5347">
        <w:t xml:space="preserve"> the service contractor personnel must answer greater than 85 per cent of all telephone calls from </w:t>
      </w:r>
      <w:r>
        <w:t>helpdesk</w:t>
      </w:r>
      <w:r w:rsidRPr="000C5347">
        <w:t xml:space="preserve"> </w:t>
      </w:r>
      <w:r>
        <w:t>u</w:t>
      </w:r>
      <w:r w:rsidRPr="000C5347">
        <w:t xml:space="preserve">sers during the hours of operation of the </w:t>
      </w:r>
      <w:r>
        <w:t>helpdesk</w:t>
      </w:r>
      <w:r w:rsidRPr="000C5347">
        <w:t xml:space="preserve"> within 90 seconds.</w:t>
      </w:r>
      <w:r>
        <w:t xml:space="preserve"> </w:t>
      </w:r>
      <w:r w:rsidRPr="000C5347">
        <w:t>Any call other than a call that is ended by the user hanging up within 5 seconds from the first ring tone of the call is included in measurement of compliance with this Service L</w:t>
      </w:r>
      <w:r>
        <w:t>evel.</w:t>
      </w:r>
    </w:p>
    <w:p w:rsidR="00AE320B" w:rsidRPr="000C5347" w:rsidRDefault="00AE320B" w:rsidP="00AB2B3D">
      <w:pPr>
        <w:pStyle w:val="Bulletlevel1"/>
        <w:keepLines/>
      </w:pPr>
      <w:r w:rsidRPr="000C5347">
        <w:rPr>
          <w:b/>
        </w:rPr>
        <w:t>Service level 2:</w:t>
      </w:r>
      <w:r w:rsidRPr="000C5347">
        <w:t xml:space="preserve"> the service contractor personnel must acknowledge greater than 85 per cent of all enquiries received through public NRS email addresses or forms from the NRS website or from </w:t>
      </w:r>
      <w:r>
        <w:t>helpdesk</w:t>
      </w:r>
      <w:r w:rsidRPr="000C5347">
        <w:t xml:space="preserve"> </w:t>
      </w:r>
      <w:r>
        <w:t>u</w:t>
      </w:r>
      <w:r w:rsidRPr="000C5347">
        <w:t xml:space="preserve">sers within </w:t>
      </w:r>
      <w:r>
        <w:t>four</w:t>
      </w:r>
      <w:r w:rsidRPr="000C5347">
        <w:t xml:space="preserve"> hours where the enquiry is received before 2 pm (AEST) on a business day or otherwise by 12 noon </w:t>
      </w:r>
      <w:r>
        <w:t>(AEST) on the next business day.</w:t>
      </w:r>
    </w:p>
    <w:p w:rsidR="00AE320B" w:rsidRPr="000C5347" w:rsidRDefault="00AE320B" w:rsidP="00AE320B">
      <w:pPr>
        <w:pStyle w:val="Bulletlevel1"/>
      </w:pPr>
      <w:r w:rsidRPr="000C5347">
        <w:rPr>
          <w:b/>
        </w:rPr>
        <w:t>Service level 3:</w:t>
      </w:r>
      <w:r w:rsidRPr="000C5347">
        <w:t xml:space="preserve"> the service contractor personnel must resolve greater than 85 per cent of all enquiries received from </w:t>
      </w:r>
      <w:r>
        <w:t>helpdesk</w:t>
      </w:r>
      <w:r w:rsidRPr="000C5347">
        <w:t xml:space="preserve"> </w:t>
      </w:r>
      <w:r>
        <w:t>u</w:t>
      </w:r>
      <w:r w:rsidRPr="000C5347">
        <w:t>sers by telephone (that are not able to be resolved while on the call), website or email, that it is able to resolve without input from the Commonwealth or the relay service provider or a third pa</w:t>
      </w:r>
      <w:r>
        <w:t>rty within two business days.</w:t>
      </w:r>
    </w:p>
    <w:p w:rsidR="00AE320B" w:rsidRPr="000C5347" w:rsidRDefault="00AE320B" w:rsidP="00AE320B">
      <w:pPr>
        <w:pStyle w:val="Bulletlevel1"/>
      </w:pPr>
      <w:r w:rsidRPr="000C5347">
        <w:rPr>
          <w:b/>
        </w:rPr>
        <w:t>Service level 4:</w:t>
      </w:r>
      <w:r w:rsidRPr="000C5347">
        <w:t xml:space="preserve"> the service contractor personnel must resolve greater than 85 per cent of all complaints received during the month within the timeframes required under the agreement (including the complaint handling policy) for the type of complaint.</w:t>
      </w:r>
    </w:p>
    <w:p w:rsidR="00AE320B" w:rsidRDefault="00AE320B" w:rsidP="00AE320B">
      <w:pPr>
        <w:keepNext/>
      </w:pPr>
      <w:r w:rsidRPr="000C5347">
        <w:t>The outreach service provider’s</w:t>
      </w:r>
      <w:r>
        <w:t xml:space="preserve"> reported </w:t>
      </w:r>
      <w:r w:rsidRPr="000C5347">
        <w:t xml:space="preserve">performance </w:t>
      </w:r>
      <w:r>
        <w:t xml:space="preserve">over the 2018–19 financial year to date </w:t>
      </w:r>
      <w:r w:rsidRPr="000C5347">
        <w:t xml:space="preserve">against these service levels is outlined in </w:t>
      </w:r>
      <w:r>
        <w:t xml:space="preserve">the </w:t>
      </w:r>
      <w:r w:rsidRPr="000C5347">
        <w:t>table below</w:t>
      </w:r>
      <w:r>
        <w:t>.</w:t>
      </w:r>
    </w:p>
    <w:p w:rsidR="00AE320B" w:rsidRDefault="00AE320B" w:rsidP="00AE320B">
      <w:pPr>
        <w:pStyle w:val="Tablefigureheading"/>
      </w:pPr>
      <w:bookmarkStart w:id="16" w:name="_Toc530992303"/>
      <w:bookmarkStart w:id="17" w:name="_Toc531006546"/>
      <w:r>
        <w:t>Table 3. Service level performance: outreach service provider</w:t>
      </w:r>
      <w:bookmarkEnd w:id="16"/>
      <w:bookmarkEnd w:id="17"/>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3. Service level performance: outreach service provider."/>
      </w:tblPr>
      <w:tblGrid>
        <w:gridCol w:w="1748"/>
        <w:gridCol w:w="1896"/>
        <w:gridCol w:w="1896"/>
        <w:gridCol w:w="1896"/>
        <w:gridCol w:w="1897"/>
      </w:tblGrid>
      <w:tr w:rsidR="00AE320B" w:rsidTr="009B6714">
        <w:trPr>
          <w:cantSplit/>
          <w:tblHeader/>
        </w:trPr>
        <w:tc>
          <w:tcPr>
            <w:tcW w:w="1748" w:type="dxa"/>
            <w:tcBorders>
              <w:top w:val="nil"/>
              <w:left w:val="nil"/>
              <w:bottom w:val="thickThinLargeGap" w:sz="24" w:space="0" w:color="auto"/>
              <w:right w:val="nil"/>
            </w:tcBorders>
            <w:shd w:val="clear" w:color="auto" w:fill="E4E4E4"/>
          </w:tcPr>
          <w:p w:rsidR="00AE320B" w:rsidRDefault="00AE320B" w:rsidP="009B6714">
            <w:pPr>
              <w:pStyle w:val="Tablerowcolumnheading"/>
            </w:pPr>
            <w:r>
              <w:t>Month</w:t>
            </w:r>
          </w:p>
        </w:tc>
        <w:tc>
          <w:tcPr>
            <w:tcW w:w="1896" w:type="dxa"/>
            <w:tcBorders>
              <w:top w:val="nil"/>
              <w:left w:val="nil"/>
              <w:bottom w:val="thickThinLargeGap" w:sz="24" w:space="0" w:color="auto"/>
              <w:right w:val="nil"/>
            </w:tcBorders>
            <w:shd w:val="clear" w:color="auto" w:fill="E4E4E4"/>
          </w:tcPr>
          <w:p w:rsidR="00AE320B" w:rsidRDefault="00AE320B" w:rsidP="009B6714">
            <w:pPr>
              <w:pStyle w:val="Tableheadingcentred"/>
            </w:pPr>
            <w:r>
              <w:t>Service level 1</w:t>
            </w:r>
          </w:p>
        </w:tc>
        <w:tc>
          <w:tcPr>
            <w:tcW w:w="1896" w:type="dxa"/>
            <w:tcBorders>
              <w:top w:val="nil"/>
              <w:left w:val="nil"/>
              <w:bottom w:val="thickThinLargeGap" w:sz="24" w:space="0" w:color="auto"/>
              <w:right w:val="nil"/>
            </w:tcBorders>
            <w:shd w:val="clear" w:color="auto" w:fill="E4E4E4"/>
          </w:tcPr>
          <w:p w:rsidR="00AE320B" w:rsidRDefault="00AE320B" w:rsidP="009B6714">
            <w:pPr>
              <w:pStyle w:val="Tableheadingcentred"/>
            </w:pPr>
            <w:r>
              <w:t>Service level 2</w:t>
            </w:r>
          </w:p>
        </w:tc>
        <w:tc>
          <w:tcPr>
            <w:tcW w:w="1896" w:type="dxa"/>
            <w:tcBorders>
              <w:top w:val="nil"/>
              <w:left w:val="nil"/>
              <w:bottom w:val="thickThinLargeGap" w:sz="24" w:space="0" w:color="auto"/>
              <w:right w:val="nil"/>
            </w:tcBorders>
            <w:shd w:val="clear" w:color="auto" w:fill="E4E4E4"/>
          </w:tcPr>
          <w:p w:rsidR="00AE320B" w:rsidRDefault="00AE320B" w:rsidP="009B6714">
            <w:pPr>
              <w:pStyle w:val="Tableheadingcentred"/>
            </w:pPr>
            <w:r>
              <w:t>Service level 3</w:t>
            </w:r>
          </w:p>
        </w:tc>
        <w:tc>
          <w:tcPr>
            <w:tcW w:w="1897" w:type="dxa"/>
            <w:tcBorders>
              <w:top w:val="nil"/>
              <w:left w:val="nil"/>
              <w:bottom w:val="thickThinLargeGap" w:sz="24" w:space="0" w:color="auto"/>
              <w:right w:val="nil"/>
            </w:tcBorders>
            <w:shd w:val="clear" w:color="auto" w:fill="E4E4E4"/>
          </w:tcPr>
          <w:p w:rsidR="00AE320B" w:rsidRDefault="00AE320B" w:rsidP="009B6714">
            <w:pPr>
              <w:pStyle w:val="Tableheadingcentred"/>
            </w:pPr>
            <w:r>
              <w:t>Service level 4</w:t>
            </w:r>
          </w:p>
        </w:tc>
      </w:tr>
      <w:tr w:rsidR="00AE320B" w:rsidTr="009B6714">
        <w:trPr>
          <w:cantSplit/>
        </w:trPr>
        <w:tc>
          <w:tcPr>
            <w:tcW w:w="1748" w:type="dxa"/>
            <w:tcBorders>
              <w:top w:val="thickThinLargeGap" w:sz="24" w:space="0" w:color="auto"/>
              <w:left w:val="nil"/>
              <w:bottom w:val="single" w:sz="4" w:space="0" w:color="auto"/>
              <w:right w:val="nil"/>
            </w:tcBorders>
          </w:tcPr>
          <w:p w:rsidR="00AE320B" w:rsidRDefault="00AE320B" w:rsidP="009B6714">
            <w:pPr>
              <w:pStyle w:val="Tabletext"/>
            </w:pPr>
            <w:r>
              <w:t>July 2018</w:t>
            </w:r>
          </w:p>
        </w:tc>
        <w:tc>
          <w:tcPr>
            <w:tcW w:w="1896" w:type="dxa"/>
            <w:tcBorders>
              <w:top w:val="thickThinLargeGap" w:sz="24" w:space="0" w:color="auto"/>
              <w:left w:val="nil"/>
              <w:bottom w:val="single" w:sz="4" w:space="0" w:color="auto"/>
              <w:right w:val="nil"/>
            </w:tcBorders>
          </w:tcPr>
          <w:p w:rsidR="00AE320B" w:rsidRDefault="00AE320B" w:rsidP="009B6714">
            <w:pPr>
              <w:pStyle w:val="Tabletextcentred"/>
            </w:pPr>
            <w:r w:rsidRPr="00667DD4">
              <w:rPr>
                <w:sz w:val="20"/>
              </w:rPr>
              <w:t>99.</w:t>
            </w:r>
            <w:r>
              <w:rPr>
                <w:sz w:val="20"/>
              </w:rPr>
              <w:t>63</w:t>
            </w:r>
            <w:r w:rsidRPr="00667DD4">
              <w:rPr>
                <w:sz w:val="20"/>
              </w:rPr>
              <w:t>%</w:t>
            </w:r>
          </w:p>
        </w:tc>
        <w:tc>
          <w:tcPr>
            <w:tcW w:w="1896" w:type="dxa"/>
            <w:tcBorders>
              <w:top w:val="thickThinLargeGap" w:sz="24" w:space="0" w:color="auto"/>
              <w:left w:val="nil"/>
              <w:bottom w:val="single" w:sz="4" w:space="0" w:color="auto"/>
              <w:right w:val="nil"/>
            </w:tcBorders>
          </w:tcPr>
          <w:p w:rsidR="00AE320B" w:rsidRDefault="00AE320B" w:rsidP="009B6714">
            <w:pPr>
              <w:pStyle w:val="Tabletextcentred"/>
            </w:pPr>
            <w:r w:rsidRPr="00667DD4">
              <w:rPr>
                <w:sz w:val="20"/>
              </w:rPr>
              <w:t>100%</w:t>
            </w:r>
          </w:p>
        </w:tc>
        <w:tc>
          <w:tcPr>
            <w:tcW w:w="1896" w:type="dxa"/>
            <w:tcBorders>
              <w:top w:val="thickThinLargeGap" w:sz="24" w:space="0" w:color="auto"/>
              <w:left w:val="nil"/>
              <w:bottom w:val="single" w:sz="4" w:space="0" w:color="auto"/>
              <w:right w:val="nil"/>
            </w:tcBorders>
          </w:tcPr>
          <w:p w:rsidR="00AE320B" w:rsidRDefault="00AE320B" w:rsidP="009B6714">
            <w:pPr>
              <w:pStyle w:val="Tabletextcentred"/>
            </w:pPr>
            <w:r>
              <w:rPr>
                <w:sz w:val="20"/>
              </w:rPr>
              <w:t>98.6</w:t>
            </w:r>
            <w:r w:rsidRPr="00667DD4">
              <w:rPr>
                <w:sz w:val="20"/>
              </w:rPr>
              <w:t>3%</w:t>
            </w:r>
          </w:p>
        </w:tc>
        <w:tc>
          <w:tcPr>
            <w:tcW w:w="1897" w:type="dxa"/>
            <w:tcBorders>
              <w:top w:val="thickThinLargeGap" w:sz="24" w:space="0" w:color="auto"/>
              <w:left w:val="nil"/>
              <w:bottom w:val="single" w:sz="4" w:space="0" w:color="auto"/>
              <w:right w:val="nil"/>
            </w:tcBorders>
            <w:vAlign w:val="center"/>
          </w:tcPr>
          <w:p w:rsidR="00AE320B" w:rsidRPr="00667DD4" w:rsidRDefault="00AE320B" w:rsidP="009B6714">
            <w:pPr>
              <w:pStyle w:val="Tabletextcentred"/>
              <w:rPr>
                <w:sz w:val="20"/>
              </w:rPr>
            </w:pPr>
            <w:r>
              <w:rPr>
                <w:sz w:val="20"/>
              </w:rPr>
              <w:t>86.96%</w:t>
            </w:r>
          </w:p>
        </w:tc>
      </w:tr>
      <w:tr w:rsidR="00AE320B" w:rsidTr="009B6714">
        <w:trPr>
          <w:cantSplit/>
        </w:trPr>
        <w:tc>
          <w:tcPr>
            <w:tcW w:w="1748" w:type="dxa"/>
            <w:tcBorders>
              <w:top w:val="single" w:sz="4" w:space="0" w:color="auto"/>
              <w:left w:val="nil"/>
              <w:bottom w:val="single" w:sz="4" w:space="0" w:color="auto"/>
              <w:right w:val="nil"/>
            </w:tcBorders>
          </w:tcPr>
          <w:p w:rsidR="00AE320B" w:rsidRDefault="00AE320B" w:rsidP="009B6714">
            <w:pPr>
              <w:pStyle w:val="Tabletext"/>
            </w:pPr>
            <w:r>
              <w:t>August 2018</w:t>
            </w:r>
          </w:p>
        </w:tc>
        <w:tc>
          <w:tcPr>
            <w:tcW w:w="1896" w:type="dxa"/>
            <w:tcBorders>
              <w:top w:val="single" w:sz="4" w:space="0" w:color="auto"/>
              <w:left w:val="nil"/>
              <w:bottom w:val="single" w:sz="4" w:space="0" w:color="auto"/>
              <w:right w:val="nil"/>
            </w:tcBorders>
          </w:tcPr>
          <w:p w:rsidR="00AE320B" w:rsidRDefault="00AE320B" w:rsidP="009B6714">
            <w:pPr>
              <w:pStyle w:val="Tabletextcentred"/>
            </w:pPr>
            <w:r>
              <w:rPr>
                <w:sz w:val="20"/>
              </w:rPr>
              <w:t>99.83</w:t>
            </w:r>
            <w:r w:rsidRPr="00667DD4">
              <w:rPr>
                <w:sz w:val="20"/>
              </w:rPr>
              <w:t>%</w:t>
            </w:r>
          </w:p>
        </w:tc>
        <w:tc>
          <w:tcPr>
            <w:tcW w:w="1896" w:type="dxa"/>
            <w:tcBorders>
              <w:top w:val="single" w:sz="4" w:space="0" w:color="auto"/>
              <w:left w:val="nil"/>
              <w:bottom w:val="single" w:sz="4" w:space="0" w:color="auto"/>
              <w:right w:val="nil"/>
            </w:tcBorders>
          </w:tcPr>
          <w:p w:rsidR="00AE320B" w:rsidRDefault="00AE320B" w:rsidP="009B6714">
            <w:pPr>
              <w:pStyle w:val="Tabletextcentred"/>
            </w:pPr>
            <w:r w:rsidRPr="00667DD4">
              <w:rPr>
                <w:sz w:val="20"/>
              </w:rPr>
              <w:t>100%</w:t>
            </w:r>
          </w:p>
        </w:tc>
        <w:tc>
          <w:tcPr>
            <w:tcW w:w="1896"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r>
              <w:rPr>
                <w:sz w:val="20"/>
              </w:rPr>
              <w:t>98.55</w:t>
            </w:r>
            <w:r w:rsidRPr="00667DD4">
              <w:rPr>
                <w:sz w:val="20"/>
              </w:rPr>
              <w:t>%</w:t>
            </w:r>
          </w:p>
        </w:tc>
        <w:tc>
          <w:tcPr>
            <w:tcW w:w="1897" w:type="dxa"/>
            <w:tcBorders>
              <w:top w:val="single" w:sz="4" w:space="0" w:color="auto"/>
              <w:left w:val="nil"/>
              <w:bottom w:val="single" w:sz="4" w:space="0" w:color="auto"/>
              <w:right w:val="nil"/>
            </w:tcBorders>
          </w:tcPr>
          <w:p w:rsidR="00AE320B" w:rsidRDefault="00AE320B" w:rsidP="009B6714">
            <w:pPr>
              <w:pStyle w:val="Tabletextcentred"/>
            </w:pPr>
            <w:r w:rsidRPr="00667DD4">
              <w:rPr>
                <w:sz w:val="20"/>
              </w:rPr>
              <w:t>100%</w:t>
            </w:r>
          </w:p>
        </w:tc>
      </w:tr>
      <w:tr w:rsidR="00AE320B" w:rsidTr="009B6714">
        <w:trPr>
          <w:cantSplit/>
        </w:trPr>
        <w:tc>
          <w:tcPr>
            <w:tcW w:w="1748" w:type="dxa"/>
            <w:tcBorders>
              <w:top w:val="single" w:sz="4" w:space="0" w:color="auto"/>
              <w:left w:val="nil"/>
              <w:bottom w:val="single" w:sz="4" w:space="0" w:color="auto"/>
              <w:right w:val="nil"/>
            </w:tcBorders>
          </w:tcPr>
          <w:p w:rsidR="00AE320B" w:rsidRDefault="00AE320B" w:rsidP="009B6714">
            <w:pPr>
              <w:pStyle w:val="Tabletext"/>
            </w:pPr>
            <w:r>
              <w:t>September 2018</w:t>
            </w:r>
          </w:p>
        </w:tc>
        <w:tc>
          <w:tcPr>
            <w:tcW w:w="1896"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r>
              <w:rPr>
                <w:sz w:val="20"/>
              </w:rPr>
              <w:t>99.61</w:t>
            </w:r>
            <w:r w:rsidRPr="00667DD4">
              <w:rPr>
                <w:sz w:val="20"/>
              </w:rPr>
              <w:t>%</w:t>
            </w:r>
          </w:p>
        </w:tc>
        <w:tc>
          <w:tcPr>
            <w:tcW w:w="1896" w:type="dxa"/>
            <w:tcBorders>
              <w:top w:val="single" w:sz="4" w:space="0" w:color="auto"/>
              <w:left w:val="nil"/>
              <w:bottom w:val="single" w:sz="4" w:space="0" w:color="auto"/>
              <w:right w:val="nil"/>
            </w:tcBorders>
          </w:tcPr>
          <w:p w:rsidR="00AE320B" w:rsidRDefault="00AE320B" w:rsidP="009B6714">
            <w:pPr>
              <w:pStyle w:val="Tabletextcentred"/>
            </w:pPr>
            <w:r w:rsidRPr="00667DD4">
              <w:rPr>
                <w:sz w:val="20"/>
              </w:rPr>
              <w:t>100%</w:t>
            </w:r>
          </w:p>
        </w:tc>
        <w:tc>
          <w:tcPr>
            <w:tcW w:w="1896" w:type="dxa"/>
            <w:tcBorders>
              <w:top w:val="single" w:sz="4" w:space="0" w:color="auto"/>
              <w:left w:val="nil"/>
              <w:bottom w:val="single" w:sz="4" w:space="0" w:color="auto"/>
              <w:right w:val="nil"/>
            </w:tcBorders>
          </w:tcPr>
          <w:p w:rsidR="00AE320B" w:rsidRDefault="00AE320B" w:rsidP="009B6714">
            <w:pPr>
              <w:pStyle w:val="Tabletextcentred"/>
            </w:pPr>
            <w:r>
              <w:rPr>
                <w:sz w:val="20"/>
              </w:rPr>
              <w:t>99</w:t>
            </w:r>
            <w:r w:rsidRPr="00667DD4">
              <w:rPr>
                <w:sz w:val="20"/>
              </w:rPr>
              <w:t>.</w:t>
            </w:r>
            <w:r>
              <w:rPr>
                <w:sz w:val="20"/>
              </w:rPr>
              <w:t>39</w:t>
            </w:r>
            <w:r w:rsidRPr="00667DD4">
              <w:rPr>
                <w:sz w:val="20"/>
              </w:rPr>
              <w:t>%</w:t>
            </w:r>
          </w:p>
        </w:tc>
        <w:tc>
          <w:tcPr>
            <w:tcW w:w="1897" w:type="dxa"/>
            <w:tcBorders>
              <w:top w:val="single" w:sz="4" w:space="0" w:color="auto"/>
              <w:left w:val="nil"/>
              <w:bottom w:val="single" w:sz="4" w:space="0" w:color="auto"/>
              <w:right w:val="nil"/>
            </w:tcBorders>
          </w:tcPr>
          <w:p w:rsidR="00AE320B" w:rsidRDefault="00AE320B" w:rsidP="009B6714">
            <w:pPr>
              <w:pStyle w:val="Tabletextcentred"/>
            </w:pPr>
            <w:r w:rsidRPr="00667DD4">
              <w:rPr>
                <w:sz w:val="20"/>
              </w:rPr>
              <w:t>100%</w:t>
            </w:r>
          </w:p>
        </w:tc>
      </w:tr>
      <w:tr w:rsidR="00AE320B" w:rsidTr="009B6714">
        <w:trPr>
          <w:cantSplit/>
        </w:trPr>
        <w:tc>
          <w:tcPr>
            <w:tcW w:w="1748" w:type="dxa"/>
            <w:tcBorders>
              <w:top w:val="single" w:sz="4" w:space="0" w:color="auto"/>
              <w:left w:val="nil"/>
              <w:bottom w:val="single" w:sz="4" w:space="0" w:color="auto"/>
              <w:right w:val="nil"/>
            </w:tcBorders>
          </w:tcPr>
          <w:p w:rsidR="00AE320B" w:rsidRDefault="00AE320B" w:rsidP="009B6714">
            <w:pPr>
              <w:pStyle w:val="Tabletext"/>
            </w:pPr>
            <w:r>
              <w:t>October 2018</w:t>
            </w: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7" w:type="dxa"/>
            <w:tcBorders>
              <w:top w:val="single" w:sz="4" w:space="0" w:color="auto"/>
              <w:left w:val="nil"/>
              <w:bottom w:val="single" w:sz="4" w:space="0" w:color="auto"/>
              <w:right w:val="nil"/>
            </w:tcBorders>
          </w:tcPr>
          <w:p w:rsidR="00AE320B" w:rsidRDefault="00AE320B" w:rsidP="009B6714">
            <w:pPr>
              <w:pStyle w:val="Tabletextcentred"/>
            </w:pPr>
          </w:p>
        </w:tc>
      </w:tr>
      <w:tr w:rsidR="00AE320B" w:rsidTr="009B6714">
        <w:trPr>
          <w:cantSplit/>
        </w:trPr>
        <w:tc>
          <w:tcPr>
            <w:tcW w:w="1748" w:type="dxa"/>
            <w:tcBorders>
              <w:top w:val="single" w:sz="4" w:space="0" w:color="auto"/>
              <w:left w:val="nil"/>
              <w:bottom w:val="single" w:sz="4" w:space="0" w:color="auto"/>
              <w:right w:val="nil"/>
            </w:tcBorders>
          </w:tcPr>
          <w:p w:rsidR="00AE320B" w:rsidRDefault="00AE320B" w:rsidP="009B6714">
            <w:pPr>
              <w:pStyle w:val="Tabletext"/>
            </w:pPr>
            <w:r>
              <w:t>November 2018</w:t>
            </w: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6"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7" w:type="dxa"/>
            <w:tcBorders>
              <w:top w:val="single" w:sz="4" w:space="0" w:color="auto"/>
              <w:left w:val="nil"/>
              <w:bottom w:val="single" w:sz="4" w:space="0" w:color="auto"/>
              <w:right w:val="nil"/>
            </w:tcBorders>
          </w:tcPr>
          <w:p w:rsidR="00AE320B" w:rsidRDefault="00AE320B" w:rsidP="009B6714">
            <w:pPr>
              <w:pStyle w:val="Tabletextcentred"/>
            </w:pPr>
          </w:p>
        </w:tc>
      </w:tr>
      <w:tr w:rsidR="00AE320B" w:rsidTr="009B6714">
        <w:trPr>
          <w:cantSplit/>
        </w:trPr>
        <w:tc>
          <w:tcPr>
            <w:tcW w:w="1748" w:type="dxa"/>
            <w:tcBorders>
              <w:top w:val="single" w:sz="4" w:space="0" w:color="auto"/>
              <w:left w:val="nil"/>
              <w:bottom w:val="single" w:sz="4" w:space="0" w:color="auto"/>
              <w:right w:val="nil"/>
            </w:tcBorders>
          </w:tcPr>
          <w:p w:rsidR="00AE320B" w:rsidRDefault="00AE320B" w:rsidP="009B6714">
            <w:pPr>
              <w:pStyle w:val="Tabletext"/>
            </w:pPr>
            <w:r>
              <w:t>December 2018</w:t>
            </w: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7"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p>
        </w:tc>
      </w:tr>
      <w:tr w:rsidR="00AE320B" w:rsidTr="009B6714">
        <w:trPr>
          <w:cantSplit/>
        </w:trPr>
        <w:tc>
          <w:tcPr>
            <w:tcW w:w="1748" w:type="dxa"/>
            <w:tcBorders>
              <w:top w:val="single" w:sz="4" w:space="0" w:color="auto"/>
              <w:left w:val="nil"/>
              <w:bottom w:val="single" w:sz="4" w:space="0" w:color="auto"/>
              <w:right w:val="nil"/>
            </w:tcBorders>
          </w:tcPr>
          <w:p w:rsidR="00AE320B" w:rsidRDefault="00AE320B" w:rsidP="009B6714">
            <w:pPr>
              <w:pStyle w:val="Tabletext"/>
            </w:pPr>
            <w:r>
              <w:t>January 2019</w:t>
            </w: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7" w:type="dxa"/>
            <w:tcBorders>
              <w:top w:val="single" w:sz="4" w:space="0" w:color="auto"/>
              <w:left w:val="nil"/>
              <w:bottom w:val="single" w:sz="4" w:space="0" w:color="auto"/>
              <w:right w:val="nil"/>
            </w:tcBorders>
          </w:tcPr>
          <w:p w:rsidR="00AE320B" w:rsidRDefault="00AE320B" w:rsidP="009B6714">
            <w:pPr>
              <w:pStyle w:val="Tabletextcentred"/>
            </w:pPr>
          </w:p>
        </w:tc>
      </w:tr>
      <w:tr w:rsidR="00AE320B" w:rsidTr="009B6714">
        <w:trPr>
          <w:cantSplit/>
        </w:trPr>
        <w:tc>
          <w:tcPr>
            <w:tcW w:w="1748" w:type="dxa"/>
            <w:tcBorders>
              <w:top w:val="single" w:sz="4" w:space="0" w:color="auto"/>
              <w:left w:val="nil"/>
              <w:bottom w:val="single" w:sz="4" w:space="0" w:color="auto"/>
              <w:right w:val="nil"/>
            </w:tcBorders>
          </w:tcPr>
          <w:p w:rsidR="00AE320B" w:rsidRDefault="00AE320B" w:rsidP="009B6714">
            <w:pPr>
              <w:pStyle w:val="Tabletext"/>
            </w:pPr>
            <w:r>
              <w:t>February 2019</w:t>
            </w: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7" w:type="dxa"/>
            <w:tcBorders>
              <w:top w:val="single" w:sz="4" w:space="0" w:color="auto"/>
              <w:left w:val="nil"/>
              <w:bottom w:val="single" w:sz="4" w:space="0" w:color="auto"/>
              <w:right w:val="nil"/>
            </w:tcBorders>
          </w:tcPr>
          <w:p w:rsidR="00AE320B" w:rsidRDefault="00AE320B" w:rsidP="009B6714">
            <w:pPr>
              <w:pStyle w:val="Tabletextcentred"/>
            </w:pPr>
          </w:p>
        </w:tc>
      </w:tr>
      <w:tr w:rsidR="00AE320B" w:rsidTr="009B6714">
        <w:trPr>
          <w:cantSplit/>
        </w:trPr>
        <w:tc>
          <w:tcPr>
            <w:tcW w:w="1748" w:type="dxa"/>
            <w:tcBorders>
              <w:top w:val="single" w:sz="4" w:space="0" w:color="auto"/>
              <w:left w:val="nil"/>
              <w:bottom w:val="single" w:sz="4" w:space="0" w:color="auto"/>
              <w:right w:val="nil"/>
            </w:tcBorders>
          </w:tcPr>
          <w:p w:rsidR="00AE320B" w:rsidRDefault="00AE320B" w:rsidP="009B6714">
            <w:pPr>
              <w:pStyle w:val="Tabletext"/>
            </w:pPr>
            <w:r>
              <w:t>March 2019</w:t>
            </w: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6"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p>
        </w:tc>
        <w:tc>
          <w:tcPr>
            <w:tcW w:w="1896" w:type="dxa"/>
            <w:tcBorders>
              <w:top w:val="single" w:sz="4" w:space="0" w:color="auto"/>
              <w:left w:val="nil"/>
              <w:bottom w:val="single" w:sz="4" w:space="0" w:color="auto"/>
              <w:right w:val="nil"/>
            </w:tcBorders>
          </w:tcPr>
          <w:p w:rsidR="00AE320B" w:rsidRDefault="00AE320B" w:rsidP="009B6714">
            <w:pPr>
              <w:pStyle w:val="Tabletextcentred"/>
            </w:pPr>
          </w:p>
        </w:tc>
        <w:tc>
          <w:tcPr>
            <w:tcW w:w="1897" w:type="dxa"/>
            <w:tcBorders>
              <w:top w:val="single" w:sz="4" w:space="0" w:color="auto"/>
              <w:left w:val="nil"/>
              <w:bottom w:val="single" w:sz="4" w:space="0" w:color="auto"/>
              <w:right w:val="nil"/>
            </w:tcBorders>
          </w:tcPr>
          <w:p w:rsidR="00AE320B" w:rsidRDefault="00AE320B" w:rsidP="009B6714">
            <w:pPr>
              <w:pStyle w:val="Tabletextcentred"/>
            </w:pPr>
          </w:p>
        </w:tc>
      </w:tr>
      <w:tr w:rsidR="00AE320B" w:rsidTr="009B6714">
        <w:trPr>
          <w:cantSplit/>
        </w:trPr>
        <w:tc>
          <w:tcPr>
            <w:tcW w:w="1748" w:type="dxa"/>
            <w:tcBorders>
              <w:top w:val="single" w:sz="4" w:space="0" w:color="auto"/>
              <w:left w:val="nil"/>
              <w:bottom w:val="single" w:sz="4" w:space="0" w:color="auto"/>
              <w:right w:val="nil"/>
            </w:tcBorders>
          </w:tcPr>
          <w:p w:rsidR="00AE320B" w:rsidRDefault="00AE320B" w:rsidP="009B6714">
            <w:pPr>
              <w:pStyle w:val="Tabletext"/>
            </w:pPr>
            <w:r>
              <w:t>April 2019</w:t>
            </w:r>
          </w:p>
        </w:tc>
        <w:tc>
          <w:tcPr>
            <w:tcW w:w="1896"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c>
          <w:tcPr>
            <w:tcW w:w="1896"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p>
        </w:tc>
        <w:tc>
          <w:tcPr>
            <w:tcW w:w="1896"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c>
          <w:tcPr>
            <w:tcW w:w="1897" w:type="dxa"/>
            <w:tcBorders>
              <w:top w:val="single" w:sz="4" w:space="0" w:color="auto"/>
              <w:left w:val="nil"/>
              <w:bottom w:val="single" w:sz="4" w:space="0" w:color="auto"/>
              <w:right w:val="nil"/>
            </w:tcBorders>
          </w:tcPr>
          <w:p w:rsidR="00AE320B" w:rsidRDefault="00AE320B" w:rsidP="009B6714">
            <w:pPr>
              <w:pStyle w:val="Tabletextcentred"/>
              <w:rPr>
                <w:sz w:val="20"/>
              </w:rPr>
            </w:pPr>
          </w:p>
        </w:tc>
      </w:tr>
      <w:tr w:rsidR="00AE320B" w:rsidTr="009B6714">
        <w:trPr>
          <w:cantSplit/>
        </w:trPr>
        <w:tc>
          <w:tcPr>
            <w:tcW w:w="1748" w:type="dxa"/>
            <w:tcBorders>
              <w:top w:val="single" w:sz="4" w:space="0" w:color="auto"/>
              <w:left w:val="nil"/>
              <w:bottom w:val="single" w:sz="4" w:space="0" w:color="auto"/>
              <w:right w:val="nil"/>
            </w:tcBorders>
          </w:tcPr>
          <w:p w:rsidR="00AE320B" w:rsidRDefault="00AE320B" w:rsidP="009B6714">
            <w:pPr>
              <w:pStyle w:val="Tabletext"/>
            </w:pPr>
            <w:r>
              <w:t>May 2019</w:t>
            </w:r>
          </w:p>
        </w:tc>
        <w:tc>
          <w:tcPr>
            <w:tcW w:w="1896"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c>
          <w:tcPr>
            <w:tcW w:w="1896"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p>
        </w:tc>
        <w:tc>
          <w:tcPr>
            <w:tcW w:w="1896"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c>
          <w:tcPr>
            <w:tcW w:w="1897" w:type="dxa"/>
            <w:tcBorders>
              <w:top w:val="single" w:sz="4" w:space="0" w:color="auto"/>
              <w:left w:val="nil"/>
              <w:bottom w:val="single" w:sz="4" w:space="0" w:color="auto"/>
              <w:right w:val="nil"/>
            </w:tcBorders>
          </w:tcPr>
          <w:p w:rsidR="00AE320B" w:rsidRDefault="00AE320B" w:rsidP="009B6714">
            <w:pPr>
              <w:pStyle w:val="Tabletextcentred"/>
              <w:rPr>
                <w:sz w:val="20"/>
              </w:rPr>
            </w:pPr>
          </w:p>
        </w:tc>
      </w:tr>
      <w:tr w:rsidR="00AE320B" w:rsidTr="009B6714">
        <w:trPr>
          <w:cantSplit/>
        </w:trPr>
        <w:tc>
          <w:tcPr>
            <w:tcW w:w="1748" w:type="dxa"/>
            <w:tcBorders>
              <w:top w:val="single" w:sz="4" w:space="0" w:color="auto"/>
              <w:left w:val="nil"/>
              <w:bottom w:val="single" w:sz="4" w:space="0" w:color="auto"/>
              <w:right w:val="nil"/>
            </w:tcBorders>
          </w:tcPr>
          <w:p w:rsidR="00AE320B" w:rsidRDefault="00AE320B" w:rsidP="009B6714">
            <w:pPr>
              <w:pStyle w:val="Tabletext"/>
            </w:pPr>
            <w:r>
              <w:t>June 2019</w:t>
            </w:r>
          </w:p>
        </w:tc>
        <w:tc>
          <w:tcPr>
            <w:tcW w:w="1896"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c>
          <w:tcPr>
            <w:tcW w:w="1896" w:type="dxa"/>
            <w:tcBorders>
              <w:top w:val="single" w:sz="4" w:space="0" w:color="auto"/>
              <w:left w:val="nil"/>
              <w:bottom w:val="single" w:sz="4" w:space="0" w:color="auto"/>
              <w:right w:val="nil"/>
            </w:tcBorders>
            <w:vAlign w:val="center"/>
          </w:tcPr>
          <w:p w:rsidR="00AE320B" w:rsidRPr="00667DD4" w:rsidRDefault="00AE320B" w:rsidP="009B6714">
            <w:pPr>
              <w:pStyle w:val="Tabletextcentred"/>
              <w:rPr>
                <w:sz w:val="20"/>
              </w:rPr>
            </w:pPr>
          </w:p>
        </w:tc>
        <w:tc>
          <w:tcPr>
            <w:tcW w:w="1896"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c>
          <w:tcPr>
            <w:tcW w:w="1897" w:type="dxa"/>
            <w:tcBorders>
              <w:top w:val="single" w:sz="4" w:space="0" w:color="auto"/>
              <w:left w:val="nil"/>
              <w:bottom w:val="single" w:sz="4" w:space="0" w:color="auto"/>
              <w:right w:val="nil"/>
            </w:tcBorders>
          </w:tcPr>
          <w:p w:rsidR="00AE320B" w:rsidRPr="00667DD4" w:rsidRDefault="00AE320B" w:rsidP="009B6714">
            <w:pPr>
              <w:pStyle w:val="Tabletextcentred"/>
              <w:rPr>
                <w:sz w:val="20"/>
              </w:rPr>
            </w:pPr>
          </w:p>
        </w:tc>
      </w:tr>
    </w:tbl>
    <w:p w:rsidR="00AE320B" w:rsidRDefault="00AE320B" w:rsidP="00AE320B"/>
    <w:p w:rsidR="00AE320B" w:rsidRDefault="00AE320B" w:rsidP="00AE320B">
      <w:r w:rsidRPr="0095231B">
        <w:t xml:space="preserve">The outreach service provider has reported fully meeting all service levels in </w:t>
      </w:r>
      <w:r>
        <w:t>Quarter 1</w:t>
      </w:r>
      <w:r w:rsidRPr="0095231B">
        <w:t>, 201</w:t>
      </w:r>
      <w:r>
        <w:t>8</w:t>
      </w:r>
      <w:r w:rsidRPr="0095231B">
        <w:t>–1</w:t>
      </w:r>
      <w:r>
        <w:t>9</w:t>
      </w:r>
      <w:r w:rsidRPr="0095231B">
        <w:t>.</w:t>
      </w:r>
    </w:p>
    <w:p w:rsidR="00AE320B" w:rsidRDefault="00AE320B" w:rsidP="00AE320B">
      <w:r w:rsidRPr="00E94EA3">
        <w:t>The Department considers the performance of the outreach service provider to be consistent with its obligations in the Outreach Services Agreement.</w:t>
      </w:r>
    </w:p>
    <w:p w:rsidR="00AE320B" w:rsidRPr="000C5347" w:rsidRDefault="00AE320B" w:rsidP="00AE320B">
      <w:pPr>
        <w:pStyle w:val="Heading2"/>
        <w:pageBreakBefore/>
      </w:pPr>
      <w:bookmarkStart w:id="18" w:name="_Toc530992296"/>
      <w:bookmarkStart w:id="19" w:name="_Toc531006540"/>
      <w:r>
        <w:lastRenderedPageBreak/>
        <w:t>Successful inbound connections (by inbound service access type)</w:t>
      </w:r>
      <w:bookmarkEnd w:id="18"/>
      <w:bookmarkEnd w:id="19"/>
    </w:p>
    <w:p w:rsidR="00AE320B" w:rsidRPr="000C5347" w:rsidRDefault="00AE320B" w:rsidP="00AE320B">
      <w:r w:rsidRPr="000C5347">
        <w:t xml:space="preserve">Inbound connections are made </w:t>
      </w:r>
      <w:r>
        <w:t>by users of the relay service—</w:t>
      </w:r>
      <w:r w:rsidRPr="000C5347">
        <w:t>either someone with a hearing and/or speech impairment or someone wishing to contact a person with such an impairment.</w:t>
      </w:r>
    </w:p>
    <w:p w:rsidR="00AE320B" w:rsidRDefault="00AE320B" w:rsidP="00AE320B">
      <w:r w:rsidRPr="000C5347">
        <w:t xml:space="preserve">The graph below shows a </w:t>
      </w:r>
      <w:r>
        <w:t xml:space="preserve">month by month </w:t>
      </w:r>
      <w:r w:rsidRPr="000C5347">
        <w:t xml:space="preserve">breakdown of the successful call connections for each NRS inbound service </w:t>
      </w:r>
      <w:r>
        <w:t xml:space="preserve">access </w:t>
      </w:r>
      <w:r w:rsidRPr="000C5347">
        <w:t xml:space="preserve">type </w:t>
      </w:r>
      <w:r>
        <w:t>for the 2018–19 financial year to date.</w:t>
      </w:r>
    </w:p>
    <w:p w:rsidR="00AE320B" w:rsidRDefault="00AE320B" w:rsidP="00AE320B">
      <w:r>
        <w:rPr>
          <w:noProof/>
          <w:lang w:eastAsia="en-AU"/>
        </w:rPr>
        <w:drawing>
          <wp:inline distT="0" distB="0" distL="0" distR="0" wp14:anchorId="582B6BA4" wp14:editId="14CD52CA">
            <wp:extent cx="5926455" cy="3188970"/>
            <wp:effectExtent l="0" t="0" r="0" b="0"/>
            <wp:docPr id="7" name="Picture 7" descr="Successful inbound connections (by service type).&#10;&#10;The chart shows a monthly breakdown of successful inbound calls for each NRS service access option for the 2018-19 financial year.&#10;  &#10;The service access options are listed along the Y axis and the number of successful inbound connections is listed along the X axis. Colour coding has been used to breakdown the amount of successful inbound calls for each month.&#10;&#10;The key outcome is that a long-term trend continues where captioned relay is overwhelmingly the technology used most for inbound calls, followed by internet relay, the internet relay app and SMS relay. Teletypewriter (TTY) use is relatively low, and voice-based options (voice video relay and voice internet relay) are barely used a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26455" cy="3188970"/>
                    </a:xfrm>
                    <a:prstGeom prst="rect">
                      <a:avLst/>
                    </a:prstGeom>
                  </pic:spPr>
                </pic:pic>
              </a:graphicData>
            </a:graphic>
          </wp:inline>
        </w:drawing>
      </w:r>
    </w:p>
    <w:p w:rsidR="00AE320B" w:rsidRPr="00F75DDF" w:rsidRDefault="00AE320B" w:rsidP="00AE320B">
      <w:r>
        <w:t xml:space="preserve">A total of 306,480 </w:t>
      </w:r>
      <w:r w:rsidRPr="0095231B">
        <w:t xml:space="preserve">successful inbound connections were made to the NRS in </w:t>
      </w:r>
      <w:r>
        <w:t>Quarter 1</w:t>
      </w:r>
      <w:r w:rsidRPr="0095231B">
        <w:t>, 201</w:t>
      </w:r>
      <w:r>
        <w:t>8–19</w:t>
      </w:r>
      <w:r w:rsidRPr="0095231B">
        <w:t xml:space="preserve">; an amount </w:t>
      </w:r>
      <w:r>
        <w:t xml:space="preserve">consistent with the previous quarterly figure of </w:t>
      </w:r>
      <w:r w:rsidRPr="00B54C1A">
        <w:t>326,479.</w:t>
      </w:r>
    </w:p>
    <w:p w:rsidR="00AE320B" w:rsidRDefault="00AE320B" w:rsidP="00AE320B">
      <w:r w:rsidRPr="000131C6">
        <w:t xml:space="preserve">Continuing to follow a well-established trend, the </w:t>
      </w:r>
      <w:r w:rsidRPr="00D0609B">
        <w:t xml:space="preserve">captioned relay service </w:t>
      </w:r>
      <w:r w:rsidRPr="000131C6">
        <w:t>experienced</w:t>
      </w:r>
      <w:r w:rsidRPr="00D0609B">
        <w:t xml:space="preserve"> high usage </w:t>
      </w:r>
      <w:r w:rsidRPr="000131C6">
        <w:t xml:space="preserve">compared to other relay options.  </w:t>
      </w:r>
      <w:r>
        <w:t>There were 225,756</w:t>
      </w:r>
      <w:r w:rsidRPr="00D0609B">
        <w:t xml:space="preserve"> successful inbound connections made during Quarter </w:t>
      </w:r>
      <w:r>
        <w:t>1, 2018</w:t>
      </w:r>
      <w:r w:rsidRPr="000131C6">
        <w:t>–</w:t>
      </w:r>
      <w:r>
        <w:t>19</w:t>
      </w:r>
      <w:r w:rsidRPr="000131C6">
        <w:t xml:space="preserve">. </w:t>
      </w:r>
      <w:r>
        <w:t>The next most utilised technologies were internet relay (31,186) and internet relay using</w:t>
      </w:r>
      <w:r w:rsidRPr="00D0609B">
        <w:t xml:space="preserve"> the </w:t>
      </w:r>
      <w:r>
        <w:t>NRS app (15,315). Voice-based technologies were barely used, with voice video relay being used only twice, and voice internet relay not being used at all during</w:t>
      </w:r>
      <w:r w:rsidRPr="00D0609B">
        <w:t xml:space="preserve"> the </w:t>
      </w:r>
      <w:r>
        <w:t>quarter.</w:t>
      </w:r>
    </w:p>
    <w:p w:rsidR="00AE320B" w:rsidRDefault="00AE320B" w:rsidP="00AE320B">
      <w:pPr>
        <w:pStyle w:val="Heading2"/>
      </w:pPr>
      <w:bookmarkStart w:id="20" w:name="_Toc530992297"/>
      <w:bookmarkStart w:id="21" w:name="_Toc531006541"/>
      <w:bookmarkStart w:id="22" w:name="_Toc475458959"/>
      <w:r>
        <w:lastRenderedPageBreak/>
        <w:t>Outbound call minutes relayed (by inbound connection type)</w:t>
      </w:r>
      <w:bookmarkEnd w:id="20"/>
      <w:bookmarkEnd w:id="21"/>
    </w:p>
    <w:p w:rsidR="00AE320B" w:rsidRDefault="00AE320B" w:rsidP="00AE320B">
      <w:pPr>
        <w:keepNext/>
      </w:pPr>
      <w:r w:rsidRPr="000C5347">
        <w:t xml:space="preserve">The graph </w:t>
      </w:r>
      <w:r>
        <w:t xml:space="preserve">below </w:t>
      </w:r>
      <w:r w:rsidRPr="000C5347">
        <w:t xml:space="preserve">shows a </w:t>
      </w:r>
      <w:r>
        <w:t xml:space="preserve">month by month </w:t>
      </w:r>
      <w:r w:rsidRPr="000C5347">
        <w:t xml:space="preserve">breakdown of the outbound call minutes for each inbound </w:t>
      </w:r>
      <w:r>
        <w:t xml:space="preserve">connection </w:t>
      </w:r>
      <w:r w:rsidRPr="000C5347">
        <w:t xml:space="preserve">type </w:t>
      </w:r>
      <w:r>
        <w:t>for the 2018–19 financial year to date.</w:t>
      </w:r>
    </w:p>
    <w:p w:rsidR="00AE320B" w:rsidRDefault="00AE320B" w:rsidP="00AE320B">
      <w:pPr>
        <w:keepNext/>
      </w:pPr>
      <w:r w:rsidRPr="001520F7">
        <w:rPr>
          <w:noProof/>
          <w:lang w:eastAsia="en-AU"/>
        </w:rPr>
        <w:drawing>
          <wp:inline distT="0" distB="0" distL="0" distR="0" wp14:anchorId="23EDCB8D" wp14:editId="74A6B497">
            <wp:extent cx="5926455" cy="3900170"/>
            <wp:effectExtent l="0" t="0" r="0" b="5080"/>
            <wp:docPr id="4" name="Picture 4" descr="Outbound call minutes relayed by inbound call type.&#10;&#10;The chart shows a monthly breakdown of the number of call minutes relayed by each of the NRS service access options for the 2018-19 financial year.&#10;  &#10;The service access options are listed along the Y axis and the number of call minutes is listed along the X axis. Colour coding has been used to breakdown the amount of call minutes for each month.&#10;&#10;The key outcome is that total monthly call minutes are stable compared to the pervious financial year. Continuing a well-established trend is the majority contribution of captioned relay and internet relay to total call minutes.  Teletypewriter (TTY) users are the lowest contribu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26455" cy="3900170"/>
                    </a:xfrm>
                    <a:prstGeom prst="rect">
                      <a:avLst/>
                    </a:prstGeom>
                  </pic:spPr>
                </pic:pic>
              </a:graphicData>
            </a:graphic>
          </wp:inline>
        </w:drawing>
      </w:r>
    </w:p>
    <w:p w:rsidR="00AE320B" w:rsidRDefault="00AE320B" w:rsidP="00AE320B">
      <w:r>
        <w:t xml:space="preserve">A total of 1,654,528 </w:t>
      </w:r>
      <w:r w:rsidRPr="0095231B">
        <w:t xml:space="preserve">call minutes were relayed in </w:t>
      </w:r>
      <w:r>
        <w:t>Quarter 1, 2018–19</w:t>
      </w:r>
      <w:r w:rsidRPr="0095231B">
        <w:t xml:space="preserve">; an amount </w:t>
      </w:r>
      <w:r>
        <w:t xml:space="preserve">consistent with the quarterly average for the previous financial </w:t>
      </w:r>
      <w:r w:rsidRPr="0095231B">
        <w:t>year (</w:t>
      </w:r>
      <w:r>
        <w:t>1,701,038</w:t>
      </w:r>
      <w:r w:rsidRPr="0095231B">
        <w:t>).</w:t>
      </w:r>
      <w:r>
        <w:t xml:space="preserve"> Also consistent with a well-established trend is the overwhelming contribution of the captioned relay (handset) option, accounting for just over 51 per cent of all call minutes.</w:t>
      </w:r>
    </w:p>
    <w:p w:rsidR="00AE320B" w:rsidRDefault="00AE320B" w:rsidP="00AE320B">
      <w:pPr>
        <w:pStyle w:val="Heading2"/>
        <w:pageBreakBefore/>
      </w:pPr>
      <w:bookmarkStart w:id="23" w:name="_Toc530992298"/>
      <w:bookmarkStart w:id="24" w:name="_Toc531006542"/>
      <w:r>
        <w:lastRenderedPageBreak/>
        <w:t>Calls to emergency services relayed through the NRS</w:t>
      </w:r>
      <w:bookmarkEnd w:id="23"/>
      <w:bookmarkEnd w:id="24"/>
    </w:p>
    <w:p w:rsidR="00AE320B" w:rsidRPr="000C5347" w:rsidRDefault="00AE320B" w:rsidP="00AE320B">
      <w:r w:rsidRPr="000C5347">
        <w:t>All NRS calls (except for the video relay service, which has limited operating hours) requ</w:t>
      </w:r>
      <w:r>
        <w:t>esting</w:t>
      </w:r>
      <w:r w:rsidRPr="000C5347">
        <w:t xml:space="preserve"> emergency services are given priority access to a relay officer</w:t>
      </w:r>
      <w:r>
        <w:t xml:space="preserve"> within the relay service provider’s internal system</w:t>
      </w:r>
      <w:r w:rsidRPr="000C5347">
        <w:t>, before being connected to either a Triple Zero operator or directly to the appropriate emergency service organisation</w:t>
      </w:r>
      <w:r>
        <w:t xml:space="preserve"> for TTY 106 text emergency calls.</w:t>
      </w:r>
    </w:p>
    <w:p w:rsidR="00AE320B" w:rsidRDefault="00AE320B" w:rsidP="00AE320B">
      <w:pPr>
        <w:keepNext/>
      </w:pPr>
      <w:r w:rsidRPr="000C5347">
        <w:t xml:space="preserve">The </w:t>
      </w:r>
      <w:r>
        <w:t>graph below</w:t>
      </w:r>
      <w:r w:rsidRPr="000C5347">
        <w:t xml:space="preserve"> </w:t>
      </w:r>
      <w:r>
        <w:t>shows a month by month breakdown of</w:t>
      </w:r>
      <w:r w:rsidRPr="000C5347">
        <w:t xml:space="preserve"> the ways </w:t>
      </w:r>
      <w:r>
        <w:t xml:space="preserve">in which </w:t>
      </w:r>
      <w:r w:rsidRPr="000C5347">
        <w:t xml:space="preserve">NRS users accessed emergency services </w:t>
      </w:r>
      <w:r>
        <w:t>over the 2018–19 financial year to date.</w:t>
      </w:r>
    </w:p>
    <w:p w:rsidR="00AE320B" w:rsidRDefault="00AE320B" w:rsidP="00AE320B">
      <w:pPr>
        <w:keepNext/>
      </w:pPr>
      <w:r w:rsidRPr="0028522E">
        <w:rPr>
          <w:noProof/>
          <w:lang w:eastAsia="en-AU"/>
        </w:rPr>
        <w:drawing>
          <wp:inline distT="0" distB="0" distL="0" distR="0" wp14:anchorId="3A6AF2ED" wp14:editId="33F6417E">
            <wp:extent cx="5926455" cy="3481705"/>
            <wp:effectExtent l="0" t="0" r="0" b="4445"/>
            <wp:docPr id="5" name="Picture 5" descr="Calls to emergency services.&#10;&#10;The chart shows a monthly breakdown of calls to emergency service organisations for each call type for the 2018-19 financial year.&#10;&#10;The call types are listed along the Y axis and the number of calls is listed along the X axis. Colour coding has been used to breakdown the amount of calls for each month.&#10;&#10;The key outcome is that a well-established pattern from 2017-18 continues where emergency service calls are mostly made to 'triple zero', and mostly come from users of captioned relay, SMS relay and internet relay technologies. Teletypewriter (TTY) users mostly make emergency calls to the '106' number, but the 'triple zero' is also used by TTY users, albeit less frequ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26455" cy="3481705"/>
                    </a:xfrm>
                    <a:prstGeom prst="rect">
                      <a:avLst/>
                    </a:prstGeom>
                  </pic:spPr>
                </pic:pic>
              </a:graphicData>
            </a:graphic>
          </wp:inline>
        </w:drawing>
      </w:r>
    </w:p>
    <w:p w:rsidR="00AE320B" w:rsidRDefault="00AE320B" w:rsidP="00AE320B">
      <w:r>
        <w:t xml:space="preserve">A total of 315 </w:t>
      </w:r>
      <w:r w:rsidRPr="0095231B">
        <w:t xml:space="preserve">calls to emergency services were relayed in </w:t>
      </w:r>
      <w:r>
        <w:t>Quarter 1</w:t>
      </w:r>
      <w:r w:rsidRPr="0095231B">
        <w:t xml:space="preserve">, </w:t>
      </w:r>
      <w:r>
        <w:t>2018</w:t>
      </w:r>
      <w:r w:rsidRPr="0095231B">
        <w:t>–</w:t>
      </w:r>
      <w:r>
        <w:t>19</w:t>
      </w:r>
      <w:r w:rsidRPr="0095231B">
        <w:t xml:space="preserve">, an amount </w:t>
      </w:r>
      <w:r>
        <w:t>consistent with the quarterly average for the previous financial year (329).</w:t>
      </w:r>
    </w:p>
    <w:p w:rsidR="00AE320B" w:rsidRDefault="00AE320B" w:rsidP="00AE320B">
      <w:pPr>
        <w:pStyle w:val="Heading2"/>
        <w:pageBreakBefore/>
      </w:pPr>
      <w:bookmarkStart w:id="25" w:name="_Toc530992299"/>
      <w:bookmarkStart w:id="26" w:name="_Toc531006543"/>
      <w:r>
        <w:lastRenderedPageBreak/>
        <w:t>Helpdesk enquiries</w:t>
      </w:r>
      <w:bookmarkEnd w:id="25"/>
      <w:bookmarkEnd w:id="26"/>
    </w:p>
    <w:p w:rsidR="00AE320B" w:rsidRPr="003E2829" w:rsidRDefault="00AE320B" w:rsidP="00AE320B">
      <w:r w:rsidRPr="003E2829">
        <w:t xml:space="preserve">The outreach service provider provides a </w:t>
      </w:r>
      <w:r>
        <w:t>helpdesk</w:t>
      </w:r>
      <w:r w:rsidRPr="003E2829">
        <w:t xml:space="preserve"> support function and handles complaints </w:t>
      </w:r>
      <w:r>
        <w:t>and feedback about the service.</w:t>
      </w:r>
    </w:p>
    <w:p w:rsidR="00AE320B" w:rsidRDefault="00AE320B" w:rsidP="00AE320B">
      <w:pPr>
        <w:keepNext/>
      </w:pPr>
      <w:r w:rsidRPr="003E2829">
        <w:t xml:space="preserve">The graph below </w:t>
      </w:r>
      <w:r>
        <w:t>shows a month by month</w:t>
      </w:r>
      <w:r w:rsidRPr="003E2829">
        <w:t xml:space="preserve"> breakdown of the types of helpdesk enquiries received </w:t>
      </w:r>
      <w:r>
        <w:t>over the 2018–19 financial year to date.</w:t>
      </w:r>
    </w:p>
    <w:p w:rsidR="00AE320B" w:rsidRDefault="00AE320B" w:rsidP="00AE320B">
      <w:pPr>
        <w:keepNext/>
      </w:pPr>
      <w:r w:rsidRPr="003B7D44">
        <w:rPr>
          <w:noProof/>
          <w:lang w:eastAsia="en-AU"/>
        </w:rPr>
        <w:drawing>
          <wp:inline distT="0" distB="0" distL="0" distR="0" wp14:anchorId="093B5EFC" wp14:editId="45B7A5B7">
            <wp:extent cx="5926455" cy="2313940"/>
            <wp:effectExtent l="0" t="0" r="0" b="0"/>
            <wp:docPr id="6" name="Picture 6" descr="Helpdesk enquiries.&#10;&#10;The chart shows the quarterly breakdown of helpdesk enquiries received for the 2018-19 financial year.&#10;&#10;The key outcome is that a well-established trend from 2017-18 continues with helpdesk enquiries not actually relating to NRS use being the greatest number of calls received by the Helpdesk during Q1 2018-19. Also like 2017-18, the most legitimate enquiries related to business introduction and support, client introduction, and client maintenance an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26455" cy="2313940"/>
                    </a:xfrm>
                    <a:prstGeom prst="rect">
                      <a:avLst/>
                    </a:prstGeom>
                  </pic:spPr>
                </pic:pic>
              </a:graphicData>
            </a:graphic>
          </wp:inline>
        </w:drawing>
      </w:r>
    </w:p>
    <w:p w:rsidR="00AE320B" w:rsidRDefault="00AE320B" w:rsidP="00AE320B">
      <w:pPr>
        <w:keepLines/>
      </w:pPr>
      <w:r w:rsidRPr="0095231B">
        <w:t xml:space="preserve">There were </w:t>
      </w:r>
      <w:r>
        <w:t xml:space="preserve">1,910 </w:t>
      </w:r>
      <w:r w:rsidRPr="0095231B">
        <w:t xml:space="preserve">helpdesk enquiries for </w:t>
      </w:r>
      <w:r>
        <w:t>Quarter 1</w:t>
      </w:r>
      <w:r w:rsidRPr="0095231B">
        <w:t xml:space="preserve">, </w:t>
      </w:r>
      <w:r>
        <w:t>2018</w:t>
      </w:r>
      <w:r w:rsidRPr="0095231B">
        <w:t>–</w:t>
      </w:r>
      <w:r>
        <w:t>19</w:t>
      </w:r>
      <w:r w:rsidRPr="0095231B">
        <w:t xml:space="preserve">; an amount not significantly greater than the </w:t>
      </w:r>
      <w:r>
        <w:t>quarterly average for the previous financial year</w:t>
      </w:r>
      <w:r w:rsidRPr="0095231B">
        <w:t xml:space="preserve"> (</w:t>
      </w:r>
      <w:r>
        <w:t>1,863</w:t>
      </w:r>
      <w:r w:rsidRPr="0095231B">
        <w:t>).</w:t>
      </w:r>
    </w:p>
    <w:p w:rsidR="00AE320B" w:rsidRPr="00311452" w:rsidRDefault="00AE320B" w:rsidP="00AE320B">
      <w:r w:rsidRPr="0095231B">
        <w:t>‘Not for us’ calls (</w:t>
      </w:r>
      <w:r>
        <w:t>1,163</w:t>
      </w:r>
      <w:r w:rsidRPr="0095231B">
        <w:t>), business introduction and support (</w:t>
      </w:r>
      <w:r>
        <w:t>245</w:t>
      </w:r>
      <w:r w:rsidRPr="0095231B">
        <w:t>), client introductions (</w:t>
      </w:r>
      <w:r>
        <w:t>248</w:t>
      </w:r>
      <w:r w:rsidRPr="0095231B">
        <w:t>), and client maintenance and support (</w:t>
      </w:r>
      <w:r>
        <w:t>136</w:t>
      </w:r>
      <w:r w:rsidRPr="0095231B">
        <w:t xml:space="preserve">) </w:t>
      </w:r>
      <w:r>
        <w:t>were</w:t>
      </w:r>
      <w:r w:rsidRPr="00311452">
        <w:t xml:space="preserve"> the primary functions undertaken by the </w:t>
      </w:r>
      <w:r>
        <w:t>helpdesk for the quarter.</w:t>
      </w:r>
    </w:p>
    <w:bookmarkEnd w:id="22"/>
    <w:p w:rsidR="00CC75CC" w:rsidRDefault="00CC75CC" w:rsidP="00CC75CC"/>
    <w:sectPr w:rsidR="00CC75CC" w:rsidSect="00EC6D35">
      <w:type w:val="continuous"/>
      <w:pgSz w:w="11906" w:h="16838"/>
      <w:pgMar w:top="1418" w:right="1133" w:bottom="1440" w:left="1440" w:header="51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E4C" w:rsidRDefault="00AC1E4C" w:rsidP="002117E6">
      <w:pPr>
        <w:spacing w:after="0"/>
      </w:pPr>
      <w:r>
        <w:separator/>
      </w:r>
    </w:p>
  </w:endnote>
  <w:endnote w:type="continuationSeparator" w:id="0">
    <w:p w:rsidR="00AC1E4C" w:rsidRDefault="00AC1E4C"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B0" w:rsidRDefault="00E127B0" w:rsidP="00AD7475">
    <w:pPr>
      <w:pStyle w:val="Footer"/>
      <w:tabs>
        <w:tab w:val="clear" w:pos="4513"/>
        <w:tab w:val="clear" w:pos="9026"/>
        <w:tab w:val="center" w:pos="4536"/>
        <w:tab w:val="right" w:pos="9356"/>
      </w:tabs>
      <w:ind w:left="-1440" w:right="-23"/>
    </w:pPr>
    <w:r>
      <w:rPr>
        <w:noProof/>
        <w:lang w:eastAsia="en-AU"/>
      </w:rPr>
      <w:drawing>
        <wp:inline distT="0" distB="0" distL="0" distR="0" wp14:anchorId="2C2D021F" wp14:editId="55B7234C">
          <wp:extent cx="7596000" cy="400057"/>
          <wp:effectExtent l="0" t="0" r="5080" b="0"/>
          <wp:docPr id="17" name="Picture 17"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E127B0" w:rsidRPr="00AE320B" w:rsidRDefault="00AE320B" w:rsidP="00AE320B">
    <w:pPr>
      <w:pStyle w:val="Footer"/>
    </w:pPr>
    <w:r w:rsidRPr="00AE320B">
      <w:t>National Relay Service</w:t>
    </w:r>
    <w:r w:rsidR="00E127B0" w:rsidRPr="00AE320B">
      <w:tab/>
    </w:r>
    <w:hyperlink r:id="rId2" w:history="1">
      <w:r w:rsidR="00E127B0" w:rsidRPr="00AE320B">
        <w:rPr>
          <w:rStyle w:val="Hyperlink"/>
        </w:rPr>
        <w:t>www.communications.gov.au</w:t>
      </w:r>
    </w:hyperlink>
  </w:p>
  <w:p w:rsidR="00E127B0" w:rsidRPr="00AE320B" w:rsidRDefault="00AE320B" w:rsidP="00AE320B">
    <w:pPr>
      <w:pStyle w:val="Footer"/>
      <w:rPr>
        <w:rStyle w:val="Hyperlink"/>
        <w:color w:val="auto"/>
        <w:u w:val="none"/>
      </w:rPr>
    </w:pPr>
    <w:r w:rsidRPr="00AE320B">
      <w:t>Quarterly Performance Report</w:t>
    </w:r>
    <w:r w:rsidR="00E127B0" w:rsidRPr="00AE320B">
      <w:tab/>
    </w:r>
    <w:hyperlink r:id="rId3" w:history="1">
      <w:r w:rsidR="00E127B0" w:rsidRPr="00AE320B">
        <w:rPr>
          <w:rStyle w:val="Hyperlink"/>
        </w:rPr>
        <w:t>www.arts.gov.au</w:t>
      </w:r>
    </w:hyperlink>
    <w:r w:rsidR="00E127B0" w:rsidRPr="00AE320B">
      <w:tab/>
    </w:r>
    <w:sdt>
      <w:sdtPr>
        <w:id w:val="-366988140"/>
        <w:docPartObj>
          <w:docPartGallery w:val="Page Numbers (Top of Page)"/>
          <w:docPartUnique/>
        </w:docPartObj>
      </w:sdtPr>
      <w:sdtEndPr/>
      <w:sdtContent>
        <w:r w:rsidR="00E127B0" w:rsidRPr="00AE320B">
          <w:t xml:space="preserve">Page </w:t>
        </w:r>
        <w:r w:rsidR="00E127B0" w:rsidRPr="00AE320B">
          <w:fldChar w:fldCharType="begin"/>
        </w:r>
        <w:r w:rsidR="00E127B0" w:rsidRPr="00AE320B">
          <w:instrText xml:space="preserve"> PAGE </w:instrText>
        </w:r>
        <w:r w:rsidR="00E127B0" w:rsidRPr="00AE320B">
          <w:fldChar w:fldCharType="separate"/>
        </w:r>
        <w:r w:rsidR="002029AD">
          <w:rPr>
            <w:noProof/>
          </w:rPr>
          <w:t>10</w:t>
        </w:r>
        <w:r w:rsidR="00E127B0" w:rsidRPr="00AE320B">
          <w:fldChar w:fldCharType="end"/>
        </w:r>
        <w:r w:rsidR="00E127B0" w:rsidRPr="00AE320B">
          <w:t xml:space="preserve"> of </w:t>
        </w:r>
        <w:r w:rsidR="002029AD">
          <w:rPr>
            <w:noProof/>
          </w:rPr>
          <w:fldChar w:fldCharType="begin"/>
        </w:r>
        <w:r w:rsidR="002029AD">
          <w:rPr>
            <w:noProof/>
          </w:rPr>
          <w:instrText xml:space="preserve"> NUMPAGES  </w:instrText>
        </w:r>
        <w:r w:rsidR="002029AD">
          <w:rPr>
            <w:noProof/>
          </w:rPr>
          <w:fldChar w:fldCharType="separate"/>
        </w:r>
        <w:r w:rsidR="002029AD">
          <w:rPr>
            <w:noProof/>
          </w:rPr>
          <w:t>10</w:t>
        </w:r>
        <w:r w:rsidR="002029AD">
          <w:rPr>
            <w:noProof/>
          </w:rPr>
          <w:fldChar w:fldCharType="end"/>
        </w:r>
      </w:sdtContent>
    </w:sdt>
  </w:p>
  <w:p w:rsidR="00E127B0" w:rsidRPr="00AE320B" w:rsidRDefault="00AE320B" w:rsidP="00AE320B">
    <w:pPr>
      <w:pStyle w:val="Footer"/>
      <w:rPr>
        <w:rStyle w:val="Hyperlink"/>
        <w:color w:val="auto"/>
        <w:u w:val="none"/>
      </w:rPr>
    </w:pPr>
    <w:r w:rsidRPr="00AE320B">
      <w:t>Quarter 1, 2018–19</w:t>
    </w:r>
    <w:r w:rsidR="00E127B0" w:rsidRPr="00AE320B">
      <w:tab/>
    </w:r>
    <w:hyperlink r:id="rId4" w:history="1">
      <w:r w:rsidR="00E127B0" w:rsidRPr="00AE320B">
        <w:rPr>
          <w:rStyle w:val="Hyperlink"/>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B0" w:rsidRDefault="00E127B0" w:rsidP="00EC6D35">
    <w:pPr>
      <w:pStyle w:val="Footer"/>
      <w:tabs>
        <w:tab w:val="clear" w:pos="4513"/>
        <w:tab w:val="clear" w:pos="9026"/>
        <w:tab w:val="center" w:pos="4536"/>
        <w:tab w:val="right" w:pos="9498"/>
      </w:tabs>
      <w:ind w:left="-1440" w:right="-613"/>
    </w:pPr>
    <w:r>
      <w:rPr>
        <w:noProof/>
        <w:lang w:eastAsia="en-AU"/>
      </w:rPr>
      <w:drawing>
        <wp:inline distT="0" distB="0" distL="0" distR="0" wp14:anchorId="6DD1F1C0" wp14:editId="2A34361B">
          <wp:extent cx="7596000" cy="400057"/>
          <wp:effectExtent l="0" t="0" r="5080" b="0"/>
          <wp:docPr id="18" name="Picture 18"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AE320B" w:rsidRPr="00AE320B" w:rsidRDefault="00AE320B" w:rsidP="00AE320B">
    <w:pPr>
      <w:pStyle w:val="Footer"/>
    </w:pPr>
    <w:r w:rsidRPr="00AE320B">
      <w:t>National Relay Service</w:t>
    </w:r>
    <w:r w:rsidRPr="00AE320B">
      <w:tab/>
    </w:r>
    <w:hyperlink r:id="rId2" w:history="1">
      <w:r w:rsidRPr="00AE320B">
        <w:rPr>
          <w:rStyle w:val="Hyperlink"/>
        </w:rPr>
        <w:t>www.communications.gov.au</w:t>
      </w:r>
    </w:hyperlink>
  </w:p>
  <w:p w:rsidR="00AE320B" w:rsidRPr="00AE320B" w:rsidRDefault="00AE320B" w:rsidP="00AE320B">
    <w:pPr>
      <w:pStyle w:val="Footer"/>
      <w:rPr>
        <w:rStyle w:val="Hyperlink"/>
        <w:color w:val="auto"/>
        <w:u w:val="none"/>
      </w:rPr>
    </w:pPr>
    <w:r w:rsidRPr="00AE320B">
      <w:t>Quarterly Performance Report</w:t>
    </w:r>
    <w:r w:rsidRPr="00AE320B">
      <w:tab/>
    </w:r>
    <w:hyperlink r:id="rId3" w:history="1">
      <w:r w:rsidRPr="00AE320B">
        <w:rPr>
          <w:rStyle w:val="Hyperlink"/>
        </w:rPr>
        <w:t>www.arts.gov.au</w:t>
      </w:r>
    </w:hyperlink>
    <w:r w:rsidRPr="00AE320B">
      <w:tab/>
    </w:r>
    <w:sdt>
      <w:sdtPr>
        <w:id w:val="-692222831"/>
        <w:docPartObj>
          <w:docPartGallery w:val="Page Numbers (Top of Page)"/>
          <w:docPartUnique/>
        </w:docPartObj>
      </w:sdtPr>
      <w:sdtEndPr/>
      <w:sdtContent>
        <w:r w:rsidRPr="00AE320B">
          <w:t xml:space="preserve">Page </w:t>
        </w:r>
        <w:r w:rsidRPr="00AE320B">
          <w:fldChar w:fldCharType="begin"/>
        </w:r>
        <w:r w:rsidRPr="00AE320B">
          <w:instrText xml:space="preserve"> PAGE </w:instrText>
        </w:r>
        <w:r w:rsidRPr="00AE320B">
          <w:fldChar w:fldCharType="separate"/>
        </w:r>
        <w:r w:rsidR="002029AD">
          <w:rPr>
            <w:noProof/>
          </w:rPr>
          <w:t>1</w:t>
        </w:r>
        <w:r w:rsidRPr="00AE320B">
          <w:fldChar w:fldCharType="end"/>
        </w:r>
        <w:r w:rsidRPr="00AE320B">
          <w:t xml:space="preserve"> of </w:t>
        </w:r>
        <w:fldSimple w:instr=" NUMPAGES  ">
          <w:r w:rsidR="002029AD">
            <w:rPr>
              <w:noProof/>
            </w:rPr>
            <w:t>10</w:t>
          </w:r>
        </w:fldSimple>
      </w:sdtContent>
    </w:sdt>
  </w:p>
  <w:p w:rsidR="00AE320B" w:rsidRPr="00AE320B" w:rsidRDefault="00AE320B" w:rsidP="00AE320B">
    <w:pPr>
      <w:pStyle w:val="Footer"/>
      <w:rPr>
        <w:rStyle w:val="Hyperlink"/>
        <w:color w:val="auto"/>
        <w:u w:val="none"/>
      </w:rPr>
    </w:pPr>
    <w:r w:rsidRPr="00AE320B">
      <w:t>Quarter 1, 2018–19</w:t>
    </w:r>
    <w:r w:rsidRPr="00AE320B">
      <w:tab/>
    </w:r>
    <w:hyperlink r:id="rId4" w:history="1">
      <w:r w:rsidRPr="00AE320B">
        <w:rPr>
          <w:rStyle w:val="Hyperlink"/>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E4C" w:rsidRDefault="00AC1E4C" w:rsidP="002117E6">
      <w:pPr>
        <w:spacing w:after="0"/>
      </w:pPr>
      <w:r>
        <w:separator/>
      </w:r>
    </w:p>
  </w:footnote>
  <w:footnote w:type="continuationSeparator" w:id="0">
    <w:p w:rsidR="00AC1E4C" w:rsidRDefault="00AC1E4C"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B0" w:rsidRPr="00A05F74" w:rsidRDefault="00E127B0" w:rsidP="00A05F74">
    <w:pPr>
      <w:pStyle w:val="Header"/>
      <w:rPr>
        <w:color w:val="001C40"/>
      </w:rPr>
    </w:pPr>
    <w:r w:rsidRPr="00A05F74">
      <w:rPr>
        <w:color w:val="001C40"/>
      </w:rPr>
      <w:t>Department of Communications and the Arts</w:t>
    </w:r>
    <w:r w:rsidRPr="00A05F74">
      <w:rPr>
        <w:color w:val="001C40"/>
      </w:rPr>
      <w:tab/>
    </w:r>
    <w:r w:rsidRPr="00A05F74">
      <w:rPr>
        <w:color w:val="001C40"/>
      </w:rPr>
      <w:tab/>
    </w:r>
    <w:r w:rsidR="00A05F74" w:rsidRPr="00A05F74">
      <w:rPr>
        <w:color w:val="001C40"/>
      </w:rPr>
      <w:t>Quarter 1, 2018–19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C"/>
    <w:rsid w:val="00012EF1"/>
    <w:rsid w:val="0003770F"/>
    <w:rsid w:val="0011033C"/>
    <w:rsid w:val="00111A64"/>
    <w:rsid w:val="001471EA"/>
    <w:rsid w:val="001472FC"/>
    <w:rsid w:val="001736CC"/>
    <w:rsid w:val="00185E9F"/>
    <w:rsid w:val="0019701B"/>
    <w:rsid w:val="001C76A7"/>
    <w:rsid w:val="001D7905"/>
    <w:rsid w:val="002029AD"/>
    <w:rsid w:val="002117E6"/>
    <w:rsid w:val="00245262"/>
    <w:rsid w:val="00273E99"/>
    <w:rsid w:val="00290FEC"/>
    <w:rsid w:val="00293DD6"/>
    <w:rsid w:val="002F3895"/>
    <w:rsid w:val="00327F06"/>
    <w:rsid w:val="00335334"/>
    <w:rsid w:val="00336DDD"/>
    <w:rsid w:val="00381364"/>
    <w:rsid w:val="003B5B1D"/>
    <w:rsid w:val="003F495D"/>
    <w:rsid w:val="00400E77"/>
    <w:rsid w:val="00450D6E"/>
    <w:rsid w:val="004C7687"/>
    <w:rsid w:val="00544465"/>
    <w:rsid w:val="00561190"/>
    <w:rsid w:val="005658F1"/>
    <w:rsid w:val="00565B47"/>
    <w:rsid w:val="0057494F"/>
    <w:rsid w:val="00575A5A"/>
    <w:rsid w:val="005932D0"/>
    <w:rsid w:val="0059585C"/>
    <w:rsid w:val="00597F9B"/>
    <w:rsid w:val="0061446D"/>
    <w:rsid w:val="00625397"/>
    <w:rsid w:val="00640284"/>
    <w:rsid w:val="0064138E"/>
    <w:rsid w:val="006A2F0E"/>
    <w:rsid w:val="006F06FD"/>
    <w:rsid w:val="00705B86"/>
    <w:rsid w:val="00753BB6"/>
    <w:rsid w:val="00775422"/>
    <w:rsid w:val="00791E04"/>
    <w:rsid w:val="007A4B0F"/>
    <w:rsid w:val="008169A6"/>
    <w:rsid w:val="00834DE8"/>
    <w:rsid w:val="008646E6"/>
    <w:rsid w:val="00866475"/>
    <w:rsid w:val="008A4B1F"/>
    <w:rsid w:val="008D4E53"/>
    <w:rsid w:val="00923678"/>
    <w:rsid w:val="009313D2"/>
    <w:rsid w:val="0094124E"/>
    <w:rsid w:val="00943BA7"/>
    <w:rsid w:val="009B7EF0"/>
    <w:rsid w:val="009E12E4"/>
    <w:rsid w:val="009E1C0A"/>
    <w:rsid w:val="00A05F74"/>
    <w:rsid w:val="00A10CD6"/>
    <w:rsid w:val="00A22246"/>
    <w:rsid w:val="00A241FE"/>
    <w:rsid w:val="00A35CD0"/>
    <w:rsid w:val="00A606B1"/>
    <w:rsid w:val="00AA38E6"/>
    <w:rsid w:val="00AB2B3D"/>
    <w:rsid w:val="00AC1E4C"/>
    <w:rsid w:val="00AD7475"/>
    <w:rsid w:val="00AE320B"/>
    <w:rsid w:val="00AE4F02"/>
    <w:rsid w:val="00B049A4"/>
    <w:rsid w:val="00B1045C"/>
    <w:rsid w:val="00B43C56"/>
    <w:rsid w:val="00B55747"/>
    <w:rsid w:val="00B96893"/>
    <w:rsid w:val="00BA0A5A"/>
    <w:rsid w:val="00BC329E"/>
    <w:rsid w:val="00BC7D72"/>
    <w:rsid w:val="00BE7E66"/>
    <w:rsid w:val="00C071B2"/>
    <w:rsid w:val="00C16794"/>
    <w:rsid w:val="00C240E2"/>
    <w:rsid w:val="00C451EE"/>
    <w:rsid w:val="00C55F55"/>
    <w:rsid w:val="00CC75CC"/>
    <w:rsid w:val="00D03AE2"/>
    <w:rsid w:val="00D92957"/>
    <w:rsid w:val="00DC0983"/>
    <w:rsid w:val="00DC2DFA"/>
    <w:rsid w:val="00DD5D52"/>
    <w:rsid w:val="00DF7F99"/>
    <w:rsid w:val="00E127B0"/>
    <w:rsid w:val="00E43564"/>
    <w:rsid w:val="00E43894"/>
    <w:rsid w:val="00E9234B"/>
    <w:rsid w:val="00E97404"/>
    <w:rsid w:val="00EA2F26"/>
    <w:rsid w:val="00EA5BA4"/>
    <w:rsid w:val="00EA6D34"/>
    <w:rsid w:val="00EB40A5"/>
    <w:rsid w:val="00EC6D35"/>
    <w:rsid w:val="00ED7DC2"/>
    <w:rsid w:val="00EF61B4"/>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6FE7D8-15CC-484E-9A61-2AAC05C0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A7"/>
    <w:pPr>
      <w:spacing w:after="200" w:line="240" w:lineRule="auto"/>
    </w:pPr>
  </w:style>
  <w:style w:type="paragraph" w:styleId="Heading1">
    <w:name w:val="heading 1"/>
    <w:basedOn w:val="Normal"/>
    <w:next w:val="Normal"/>
    <w:link w:val="Heading1Char"/>
    <w:uiPriority w:val="9"/>
    <w:qFormat/>
    <w:rsid w:val="00791E04"/>
    <w:pPr>
      <w:keepNext/>
      <w:spacing w:before="4080" w:after="108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91E04"/>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791E04"/>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791E04"/>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791E04"/>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791E04"/>
    <w:pPr>
      <w:keepNext/>
      <w:keepLines/>
      <w:spacing w:after="60"/>
      <w:outlineLvl w:val="5"/>
    </w:pPr>
    <w:rPr>
      <w:rFonts w:asciiTheme="majorHAnsi" w:eastAsiaTheme="majorEastAsia" w:hAnsiTheme="majorHAnsi" w:cstheme="majorBidi"/>
      <w:b/>
      <w:i/>
      <w:iCs/>
      <w:color w:val="001C40"/>
    </w:rPr>
  </w:style>
  <w:style w:type="paragraph" w:styleId="Heading7">
    <w:name w:val="heading 7"/>
    <w:basedOn w:val="Normal"/>
    <w:next w:val="Normal"/>
    <w:link w:val="Heading7Char"/>
    <w:uiPriority w:val="9"/>
    <w:unhideWhenUsed/>
    <w:qFormat/>
    <w:rsid w:val="00791E04"/>
    <w:pPr>
      <w:keepNext/>
      <w:keepLines/>
      <w:spacing w:before="40" w:after="0"/>
      <w:outlineLvl w:val="6"/>
    </w:pPr>
    <w:rPr>
      <w:rFonts w:asciiTheme="majorHAnsi" w:eastAsiaTheme="majorEastAsia" w:hAnsiTheme="majorHAnsi" w:cstheme="majorBidi"/>
      <w:b/>
      <w:i/>
      <w:iCs/>
      <w:color w:val="001C40"/>
    </w:rPr>
  </w:style>
  <w:style w:type="paragraph" w:styleId="Heading8">
    <w:name w:val="heading 8"/>
    <w:basedOn w:val="Normal"/>
    <w:next w:val="Normal"/>
    <w:link w:val="Heading8Char"/>
    <w:uiPriority w:val="9"/>
    <w:unhideWhenUsed/>
    <w:qFormat/>
    <w:rsid w:val="00791E04"/>
    <w:pPr>
      <w:keepNext/>
      <w:keepLines/>
      <w:spacing w:before="40" w:after="0"/>
      <w:outlineLvl w:val="7"/>
    </w:pPr>
    <w:rPr>
      <w:rFonts w:asciiTheme="majorHAnsi" w:eastAsiaTheme="majorEastAsia" w:hAnsiTheme="majorHAnsi" w:cstheme="majorBidi"/>
      <w:b/>
      <w:color w:val="001C40"/>
      <w:sz w:val="21"/>
      <w:szCs w:val="21"/>
    </w:rPr>
  </w:style>
  <w:style w:type="paragraph" w:styleId="Heading9">
    <w:name w:val="heading 9"/>
    <w:basedOn w:val="Normal"/>
    <w:next w:val="Normal"/>
    <w:link w:val="Heading9Char"/>
    <w:uiPriority w:val="9"/>
    <w:unhideWhenUsed/>
    <w:qFormat/>
    <w:rsid w:val="00791E04"/>
    <w:pPr>
      <w:keepNext/>
      <w:keepLines/>
      <w:spacing w:before="40" w:after="0"/>
      <w:outlineLvl w:val="8"/>
    </w:pPr>
    <w:rPr>
      <w:rFonts w:asciiTheme="majorHAnsi" w:eastAsiaTheme="majorEastAsia" w:hAnsiTheme="majorHAnsi" w:cstheme="majorBidi"/>
      <w:b/>
      <w:i/>
      <w:iCs/>
      <w:color w:val="001C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E04"/>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91E04"/>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791E04"/>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C071B2"/>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012EF1"/>
    <w:pPr>
      <w:ind w:left="567"/>
    </w:pPr>
    <w:rPr>
      <w:rFonts w:eastAsiaTheme="minorHAnsi"/>
      <w:i/>
      <w:iCs/>
      <w:color w:val="626E81"/>
      <w:lang w:eastAsia="en-US"/>
    </w:rPr>
  </w:style>
  <w:style w:type="character" w:customStyle="1" w:styleId="QuoteChar">
    <w:name w:val="Quote Char"/>
    <w:basedOn w:val="DefaultParagraphFont"/>
    <w:link w:val="Quote"/>
    <w:uiPriority w:val="29"/>
    <w:rsid w:val="00012EF1"/>
    <w:rPr>
      <w:rFonts w:eastAsiaTheme="minorHAnsi"/>
      <w:i/>
      <w:iCs/>
      <w:color w:val="626E81"/>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AE320B"/>
    <w:pPr>
      <w:tabs>
        <w:tab w:val="center" w:pos="4513"/>
        <w:tab w:val="right" w:pos="9026"/>
      </w:tabs>
      <w:spacing w:after="0"/>
    </w:pPr>
    <w:rPr>
      <w:sz w:val="18"/>
    </w:rPr>
  </w:style>
  <w:style w:type="character" w:customStyle="1" w:styleId="FooterChar">
    <w:name w:val="Footer Char"/>
    <w:basedOn w:val="DefaultParagraphFont"/>
    <w:link w:val="Footer"/>
    <w:uiPriority w:val="99"/>
    <w:rsid w:val="00AE320B"/>
    <w:rPr>
      <w:sz w:val="18"/>
    </w:rPr>
  </w:style>
  <w:style w:type="character" w:customStyle="1" w:styleId="Heading4Char">
    <w:name w:val="Heading 4 Char"/>
    <w:basedOn w:val="DefaultParagraphFont"/>
    <w:link w:val="Heading4"/>
    <w:uiPriority w:val="9"/>
    <w:rsid w:val="00791E04"/>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791E04"/>
    <w:rPr>
      <w:rFonts w:asciiTheme="majorHAnsi" w:eastAsiaTheme="majorEastAsia" w:hAnsiTheme="majorHAnsi" w:cstheme="majorBidi"/>
      <w:b/>
      <w:color w:val="001C40"/>
    </w:rPr>
  </w:style>
  <w:style w:type="table" w:styleId="TableGrid">
    <w:name w:val="Table Grid"/>
    <w:basedOn w:val="TableNormal"/>
    <w:uiPriority w:val="5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12EF1"/>
    <w:pPr>
      <w:keepNext/>
      <w:spacing w:after="0"/>
    </w:pPr>
    <w:rPr>
      <w:rFonts w:asciiTheme="majorHAnsi" w:eastAsiaTheme="minorHAnsi" w:hAnsiTheme="majorHAnsi"/>
      <w:b/>
      <w:color w:val="626E81"/>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91E04"/>
    <w:rPr>
      <w:rFonts w:asciiTheme="majorHAnsi" w:eastAsiaTheme="majorEastAsia" w:hAnsiTheme="majorHAnsi" w:cstheme="majorBidi"/>
      <w:b/>
      <w:i/>
      <w:iCs/>
      <w:color w:val="001C40"/>
    </w:rPr>
  </w:style>
  <w:style w:type="character" w:customStyle="1" w:styleId="Heading7Char">
    <w:name w:val="Heading 7 Char"/>
    <w:basedOn w:val="DefaultParagraphFont"/>
    <w:link w:val="Heading7"/>
    <w:uiPriority w:val="9"/>
    <w:rsid w:val="00791E04"/>
    <w:rPr>
      <w:rFonts w:asciiTheme="majorHAnsi" w:eastAsiaTheme="majorEastAsia" w:hAnsiTheme="majorHAnsi" w:cstheme="majorBidi"/>
      <w:b/>
      <w:i/>
      <w:iCs/>
      <w:color w:val="001C40"/>
    </w:rPr>
  </w:style>
  <w:style w:type="character" w:customStyle="1" w:styleId="Heading8Char">
    <w:name w:val="Heading 8 Char"/>
    <w:basedOn w:val="DefaultParagraphFont"/>
    <w:link w:val="Heading8"/>
    <w:uiPriority w:val="9"/>
    <w:rsid w:val="00791E04"/>
    <w:rPr>
      <w:rFonts w:asciiTheme="majorHAnsi" w:eastAsiaTheme="majorEastAsia" w:hAnsiTheme="majorHAnsi" w:cstheme="majorBidi"/>
      <w:b/>
      <w:color w:val="001C40"/>
      <w:sz w:val="21"/>
      <w:szCs w:val="21"/>
    </w:rPr>
  </w:style>
  <w:style w:type="character" w:customStyle="1" w:styleId="Heading9Char">
    <w:name w:val="Heading 9 Char"/>
    <w:basedOn w:val="DefaultParagraphFont"/>
    <w:link w:val="Heading9"/>
    <w:uiPriority w:val="9"/>
    <w:rsid w:val="00791E04"/>
    <w:rPr>
      <w:rFonts w:asciiTheme="majorHAnsi" w:eastAsiaTheme="majorEastAsia" w:hAnsiTheme="majorHAnsi" w:cstheme="majorBidi"/>
      <w:b/>
      <w:i/>
      <w:iCs/>
      <w:color w:val="001C40"/>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012EF1"/>
    <w:rPr>
      <w:color w:val="626E81"/>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unhideWhenUsed/>
    <w:rsid w:val="00012EF1"/>
    <w:pPr>
      <w:spacing w:after="0"/>
      <w:ind w:left="113" w:hanging="113"/>
    </w:pPr>
    <w:rPr>
      <w:color w:val="626E81"/>
      <w:sz w:val="20"/>
      <w:szCs w:val="20"/>
    </w:rPr>
  </w:style>
  <w:style w:type="character" w:customStyle="1" w:styleId="FootnoteTextChar">
    <w:name w:val="Footnote Text Char"/>
    <w:basedOn w:val="DefaultParagraphFont"/>
    <w:link w:val="FootnoteText"/>
    <w:uiPriority w:val="99"/>
    <w:rsid w:val="00012EF1"/>
    <w:rPr>
      <w:color w:val="626E81"/>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Tableheadingcentred">
    <w:name w:val="Table heading centred"/>
    <w:basedOn w:val="Normal"/>
    <w:next w:val="Normal"/>
    <w:rsid w:val="00AE320B"/>
    <w:pPr>
      <w:spacing w:after="0"/>
      <w:jc w:val="center"/>
    </w:pPr>
    <w:rPr>
      <w:rFonts w:eastAsia="Times New Roman" w:cs="Times New Roman"/>
      <w:b/>
      <w:bC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6341CC56-E6C3-4D29-BCD7-A348BAAB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D9F83E8-7E5A-4B3B-8E37-87957B21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department--report--template.dotx</Template>
  <TotalTime>75</TotalTime>
  <Pages>10</Pages>
  <Words>2114</Words>
  <Characters>11312</Characters>
  <Application>Microsoft Office Word</Application>
  <DocSecurity>0</DocSecurity>
  <Lines>404</Lines>
  <Paragraphs>216</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Service—Quarterly Performance Report—Quarter 1, 2018–19</dc:title>
  <dc:subject/>
  <dc:creator>Department of Communications and the Arts</dc:creator>
  <cp:keywords/>
  <dc:description>21 November 2018</dc:description>
  <cp:lastModifiedBy>Department of Communications and the Arts</cp:lastModifiedBy>
  <cp:revision>4</cp:revision>
  <dcterms:created xsi:type="dcterms:W3CDTF">2018-11-26T02:26:00Z</dcterms:created>
  <dcterms:modified xsi:type="dcterms:W3CDTF">2018-11-26T03:42:00Z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24</vt:i4>
  </property>
</Properties>
</file>