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5102F" w14:textId="77777777" w:rsidR="00567FAF" w:rsidRDefault="00297528" w:rsidP="00297528">
      <w:pPr>
        <w:ind w:left="-1418"/>
        <w:sectPr w:rsidR="00567FAF" w:rsidSect="0084603E">
          <w:footerReference w:type="default" r:id="rId11"/>
          <w:pgSz w:w="11906" w:h="16838"/>
          <w:pgMar w:top="0" w:right="1440" w:bottom="1440" w:left="1440" w:header="0" w:footer="0" w:gutter="0"/>
          <w:cols w:space="708"/>
          <w:docGrid w:linePitch="360"/>
        </w:sectPr>
      </w:pPr>
      <w:bookmarkStart w:id="0" w:name="_GoBack"/>
      <w:bookmarkEnd w:id="0"/>
      <w:r>
        <w:rPr>
          <w:noProof/>
          <w:lang w:eastAsia="en-AU"/>
        </w:rPr>
        <w:drawing>
          <wp:inline distT="0" distB="0" distL="0" distR="0" wp14:anchorId="72851198" wp14:editId="72851199">
            <wp:extent cx="7537757" cy="1349375"/>
            <wp:effectExtent l="0" t="0" r="6350" b="3175"/>
            <wp:docPr id="1" name="Picture 1" descr="Logo: Australian Government, Department of Communications and the Arts.&#10;http://www.communications.gov.au&#10;http://arts.gov.au&#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851030" w14:textId="0535B292" w:rsidR="00A7176A" w:rsidRDefault="005B5C58" w:rsidP="00C61D2E">
      <w:pPr>
        <w:pStyle w:val="Heading1"/>
      </w:pPr>
      <w:r>
        <w:t>National Relay Service</w:t>
      </w:r>
    </w:p>
    <w:p w14:paraId="72851031" w14:textId="77777777" w:rsidR="00A7176A" w:rsidRPr="005621D9" w:rsidRDefault="005B5C58" w:rsidP="00A7176A">
      <w:pPr>
        <w:pStyle w:val="subtitleofdocument"/>
      </w:pPr>
      <w:r>
        <w:t>Quarterly Performance Report</w:t>
      </w:r>
    </w:p>
    <w:p w14:paraId="72851032" w14:textId="76926D06" w:rsidR="00A7176A" w:rsidRPr="005621D9" w:rsidRDefault="005B5C58" w:rsidP="00A7176A">
      <w:pPr>
        <w:pStyle w:val="Normal-monthyearforcoverpage"/>
      </w:pPr>
      <w:r>
        <w:t>Quarter 3, 2015</w:t>
      </w:r>
      <w:r w:rsidR="0019073D">
        <w:t>–</w:t>
      </w:r>
      <w:r>
        <w:t>2016</w:t>
      </w:r>
    </w:p>
    <w:p w14:paraId="72851034" w14:textId="77777777" w:rsidR="005B5C58" w:rsidRPr="005B5C58" w:rsidRDefault="005B5C58" w:rsidP="00401079">
      <w:pPr>
        <w:pStyle w:val="Heading2"/>
        <w:pageBreakBefore/>
      </w:pPr>
      <w:r w:rsidRPr="005B5C58">
        <w:t>Background</w:t>
      </w:r>
    </w:p>
    <w:p w14:paraId="72851035" w14:textId="77777777" w:rsidR="005B5C58" w:rsidRPr="00E541EC" w:rsidRDefault="005B5C58" w:rsidP="00E541EC">
      <w:pPr>
        <w:rPr>
          <w:rFonts w:asciiTheme="majorHAnsi" w:hAnsiTheme="majorHAnsi"/>
        </w:rPr>
      </w:pPr>
      <w:r w:rsidRPr="00E541EC">
        <w:rPr>
          <w:rFonts w:asciiTheme="majorHAnsi" w:hAnsiTheme="majorHAnsi"/>
        </w:rPr>
        <w:t>The NRS providers are required to submit activity and performance data to the Department of Communications and the Arts (</w:t>
      </w:r>
      <w:proofErr w:type="spellStart"/>
      <w:r w:rsidRPr="00E541EC">
        <w:rPr>
          <w:rFonts w:asciiTheme="majorHAnsi" w:hAnsiTheme="majorHAnsi"/>
        </w:rPr>
        <w:t>DoCA</w:t>
      </w:r>
      <w:proofErr w:type="spellEnd"/>
      <w:r w:rsidRPr="00E541EC">
        <w:rPr>
          <w:rFonts w:asciiTheme="majorHAnsi" w:hAnsiTheme="majorHAnsi"/>
        </w:rPr>
        <w:t>) each quarter. We use these reports to review and manage the delivery of the NRS.</w:t>
      </w:r>
    </w:p>
    <w:p w14:paraId="72851036" w14:textId="77777777" w:rsidR="005B5C58" w:rsidRPr="00E541EC" w:rsidRDefault="005B5C58" w:rsidP="00E541EC">
      <w:pPr>
        <w:rPr>
          <w:rFonts w:asciiTheme="majorHAnsi" w:hAnsiTheme="majorHAnsi"/>
        </w:rPr>
      </w:pPr>
      <w:proofErr w:type="spellStart"/>
      <w:r w:rsidRPr="00E541EC">
        <w:rPr>
          <w:rFonts w:asciiTheme="majorHAnsi" w:hAnsiTheme="majorHAnsi"/>
        </w:rPr>
        <w:t>DoCA</w:t>
      </w:r>
      <w:proofErr w:type="spellEnd"/>
      <w:r w:rsidRPr="00E541EC">
        <w:rPr>
          <w:rFonts w:asciiTheme="majorHAnsi" w:hAnsiTheme="majorHAnsi"/>
        </w:rPr>
        <w:t xml:space="preserve"> reports on:</w:t>
      </w:r>
    </w:p>
    <w:p w14:paraId="72851037" w14:textId="77777777" w:rsidR="005B5C58" w:rsidRPr="00E541EC" w:rsidRDefault="005B5C58" w:rsidP="00E541EC">
      <w:pPr>
        <w:pStyle w:val="Bulletlevel1"/>
      </w:pPr>
      <w:r w:rsidRPr="00E541EC">
        <w:t>the cost of delivering the NRS on a quarterly basis;</w:t>
      </w:r>
    </w:p>
    <w:p w14:paraId="72851038" w14:textId="77777777" w:rsidR="005B5C58" w:rsidRPr="00E541EC" w:rsidRDefault="005B5C58" w:rsidP="00E541EC">
      <w:pPr>
        <w:pStyle w:val="Bulletlevel1"/>
      </w:pPr>
      <w:r w:rsidRPr="00E541EC">
        <w:t>the performance of the NRS providers against the service levels, key activity measures and key performance indicators outlined in the NRS Plan; and</w:t>
      </w:r>
    </w:p>
    <w:p w14:paraId="72851039" w14:textId="77777777" w:rsidR="005B5C58" w:rsidRPr="00E541EC" w:rsidRDefault="005B5C58" w:rsidP="00E541EC">
      <w:pPr>
        <w:pStyle w:val="Bulletlevel1"/>
      </w:pPr>
      <w:proofErr w:type="gramStart"/>
      <w:r w:rsidRPr="00E541EC">
        <w:t>information</w:t>
      </w:r>
      <w:proofErr w:type="gramEnd"/>
      <w:r w:rsidRPr="00E541EC">
        <w:t xml:space="preserve"> on how the NRS is used, including inbound and outbound call volumes and the service options that callers use to access the NRS.</w:t>
      </w:r>
    </w:p>
    <w:p w14:paraId="7285103A" w14:textId="3E4B3CAF" w:rsidR="005B5C58" w:rsidRPr="00E541EC" w:rsidRDefault="005B5C58" w:rsidP="00E541EC">
      <w:pPr>
        <w:rPr>
          <w:rFonts w:asciiTheme="majorHAnsi" w:hAnsiTheme="majorHAnsi"/>
        </w:rPr>
      </w:pPr>
      <w:r w:rsidRPr="00E541EC">
        <w:rPr>
          <w:rFonts w:asciiTheme="majorHAnsi" w:hAnsiTheme="majorHAnsi"/>
        </w:rPr>
        <w:t>This provides greater transparency of the NRS providers' performance and ongoing costs in delivering the NRS.</w:t>
      </w:r>
      <w:r w:rsidR="0030427B">
        <w:rPr>
          <w:rFonts w:asciiTheme="majorHAnsi" w:hAnsiTheme="majorHAnsi"/>
        </w:rPr>
        <w:t xml:space="preserve"> </w:t>
      </w:r>
      <w:r w:rsidRPr="00E541EC">
        <w:rPr>
          <w:rFonts w:asciiTheme="majorHAnsi" w:hAnsiTheme="majorHAnsi"/>
        </w:rPr>
        <w:t>Information provided in quarterly performance reporting will be consolidated into the annual reporting requirements that are due at the end of the financial year.</w:t>
      </w:r>
      <w:bookmarkStart w:id="1" w:name="nrs_plans"/>
      <w:bookmarkEnd w:id="1"/>
    </w:p>
    <w:p w14:paraId="7285103B" w14:textId="77777777" w:rsidR="005B5C58" w:rsidRPr="005B5C58" w:rsidRDefault="005B5C58" w:rsidP="00AA417D">
      <w:pPr>
        <w:pStyle w:val="Heading2"/>
      </w:pPr>
      <w:r w:rsidRPr="005B5C58">
        <w:t>Cost of delivering the NRS</w:t>
      </w:r>
    </w:p>
    <w:p w14:paraId="7285103C" w14:textId="2A8B4BD0" w:rsidR="005B5C58" w:rsidRPr="006B3774" w:rsidRDefault="005B5C58" w:rsidP="006B3774">
      <w:pPr>
        <w:rPr>
          <w:rFonts w:asciiTheme="majorHAnsi" w:hAnsiTheme="majorHAnsi"/>
        </w:rPr>
      </w:pPr>
      <w:r w:rsidRPr="006B3774">
        <w:rPr>
          <w:rFonts w:asciiTheme="majorHAnsi" w:hAnsiTheme="majorHAnsi"/>
        </w:rPr>
        <w:t>The annual cost of delivering the NRS varies, as the relay service component is based on the number of call minutes relayed during the financial year. The cost of providing the NRS is funded from the telecommunications industry levy paid by eligible telecommunications carriers. The annual funding allocation for the provision of the NRS is currently $22</w:t>
      </w:r>
      <w:r w:rsidR="0030427B">
        <w:rPr>
          <w:rFonts w:asciiTheme="majorHAnsi" w:hAnsiTheme="majorHAnsi"/>
        </w:rPr>
        <w:t> million</w:t>
      </w:r>
      <w:r w:rsidRPr="006B3774">
        <w:rPr>
          <w:rFonts w:asciiTheme="majorHAnsi" w:hAnsiTheme="majorHAnsi"/>
        </w:rPr>
        <w:t xml:space="preserve"> (including GST).</w:t>
      </w:r>
    </w:p>
    <w:p w14:paraId="7285103D" w14:textId="1999E660" w:rsidR="005B5C58" w:rsidRPr="006B3774" w:rsidRDefault="005B5C58" w:rsidP="006B3774">
      <w:pPr>
        <w:rPr>
          <w:rFonts w:asciiTheme="majorHAnsi" w:hAnsiTheme="majorHAnsi"/>
        </w:rPr>
      </w:pPr>
      <w:r w:rsidRPr="006B3774">
        <w:rPr>
          <w:rFonts w:asciiTheme="majorHAnsi" w:hAnsiTheme="majorHAnsi"/>
        </w:rPr>
        <w:t xml:space="preserve">The cost (GST-inclusive) of providing the NRS in Quarters 1, 2 and 3, </w:t>
      </w:r>
      <w:r w:rsidR="0030427B">
        <w:rPr>
          <w:rFonts w:asciiTheme="majorHAnsi" w:hAnsiTheme="majorHAnsi"/>
        </w:rPr>
        <w:t>2015–16</w:t>
      </w:r>
      <w:r w:rsidRPr="006B3774">
        <w:rPr>
          <w:rFonts w:asciiTheme="majorHAnsi" w:hAnsiTheme="majorHAnsi"/>
        </w:rPr>
        <w:t xml:space="preserve"> is outlined in </w:t>
      </w:r>
      <w:r w:rsidR="00333144">
        <w:rPr>
          <w:rFonts w:asciiTheme="majorHAnsi" w:hAnsiTheme="majorHAnsi"/>
        </w:rPr>
        <w:t>T</w:t>
      </w:r>
      <w:r w:rsidRPr="006B3774">
        <w:rPr>
          <w:rFonts w:asciiTheme="majorHAnsi" w:hAnsiTheme="majorHAnsi"/>
        </w:rPr>
        <w:t xml:space="preserve">able </w:t>
      </w:r>
      <w:r w:rsidR="00333144">
        <w:rPr>
          <w:rFonts w:asciiTheme="majorHAnsi" w:hAnsiTheme="majorHAnsi"/>
        </w:rPr>
        <w:t xml:space="preserve">1 </w:t>
      </w:r>
      <w:r w:rsidRPr="006B3774">
        <w:rPr>
          <w:rFonts w:asciiTheme="majorHAnsi" w:hAnsiTheme="majorHAnsi"/>
        </w:rPr>
        <w:t>below:</w:t>
      </w:r>
    </w:p>
    <w:p w14:paraId="7285103E" w14:textId="77777777" w:rsidR="005B5C58" w:rsidRPr="00E541EC" w:rsidRDefault="00333144" w:rsidP="00E541EC">
      <w:pPr>
        <w:pStyle w:val="Tablefigureheading"/>
      </w:pPr>
      <w:r>
        <w:t xml:space="preserve">Table 1. </w:t>
      </w:r>
      <w:r w:rsidR="005B5C58" w:rsidRPr="00E541EC">
        <w:t xml:space="preserve">Cost of delivering the NRS </w:t>
      </w:r>
    </w:p>
    <w:tbl>
      <w:tblPr>
        <w:tblStyle w:val="TableGrid"/>
        <w:tblW w:w="9071" w:type="dxa"/>
        <w:tblBorders>
          <w:top w:val="none" w:sz="0" w:space="0" w:color="auto"/>
          <w:left w:val="none" w:sz="0" w:space="0" w:color="auto"/>
          <w:right w:val="none" w:sz="0" w:space="0" w:color="auto"/>
          <w:insideV w:val="none" w:sz="0" w:space="0" w:color="auto"/>
        </w:tblBorders>
        <w:tblLayout w:type="fixed"/>
        <w:tblCellMar>
          <w:top w:w="85" w:type="dxa"/>
          <w:left w:w="28" w:type="dxa"/>
          <w:bottom w:w="85" w:type="dxa"/>
          <w:right w:w="28" w:type="dxa"/>
        </w:tblCellMar>
        <w:tblLook w:val="04A0" w:firstRow="1" w:lastRow="0" w:firstColumn="1" w:lastColumn="0" w:noHBand="0" w:noVBand="1"/>
        <w:tblDescription w:val="Table 1. Cost of delivering the NRS."/>
      </w:tblPr>
      <w:tblGrid>
        <w:gridCol w:w="1701"/>
        <w:gridCol w:w="1474"/>
        <w:gridCol w:w="1474"/>
        <w:gridCol w:w="1474"/>
        <w:gridCol w:w="1474"/>
        <w:gridCol w:w="1474"/>
      </w:tblGrid>
      <w:tr w:rsidR="005B5C58" w:rsidRPr="000F768B" w14:paraId="72851045" w14:textId="77777777" w:rsidTr="00AC66DF">
        <w:trPr>
          <w:cantSplit/>
          <w:trHeight w:val="510"/>
          <w:tblHeader/>
        </w:trPr>
        <w:tc>
          <w:tcPr>
            <w:tcW w:w="1701" w:type="dxa"/>
            <w:shd w:val="clear" w:color="auto" w:fill="auto"/>
            <w:vAlign w:val="center"/>
          </w:tcPr>
          <w:p w14:paraId="7285103F" w14:textId="77777777" w:rsidR="005B5C58" w:rsidRPr="000F768B" w:rsidRDefault="005B5C58" w:rsidP="00DC694D">
            <w:pPr>
              <w:keepNext/>
              <w:keepLines/>
              <w:rPr>
                <w:rFonts w:asciiTheme="majorHAnsi" w:hAnsiTheme="majorHAnsi" w:cs="Arial"/>
                <w:szCs w:val="19"/>
              </w:rPr>
            </w:pPr>
          </w:p>
        </w:tc>
        <w:tc>
          <w:tcPr>
            <w:tcW w:w="1474" w:type="dxa"/>
            <w:shd w:val="clear" w:color="auto" w:fill="auto"/>
            <w:vAlign w:val="center"/>
          </w:tcPr>
          <w:p w14:paraId="72851040" w14:textId="77777777" w:rsidR="005B5C58" w:rsidRPr="000F768B" w:rsidRDefault="005B5C58" w:rsidP="00DC694D">
            <w:pPr>
              <w:keepNext/>
              <w:keepLines/>
              <w:jc w:val="center"/>
              <w:rPr>
                <w:rFonts w:asciiTheme="majorHAnsi" w:hAnsiTheme="majorHAnsi" w:cs="Arial"/>
                <w:b/>
                <w:szCs w:val="19"/>
              </w:rPr>
            </w:pPr>
            <w:r w:rsidRPr="000F768B">
              <w:rPr>
                <w:rFonts w:asciiTheme="majorHAnsi" w:hAnsiTheme="majorHAnsi" w:cs="Arial"/>
                <w:b/>
                <w:szCs w:val="19"/>
              </w:rPr>
              <w:t>Quarter 1</w:t>
            </w:r>
          </w:p>
        </w:tc>
        <w:tc>
          <w:tcPr>
            <w:tcW w:w="1474" w:type="dxa"/>
            <w:shd w:val="clear" w:color="auto" w:fill="auto"/>
            <w:vAlign w:val="center"/>
          </w:tcPr>
          <w:p w14:paraId="72851041" w14:textId="77777777" w:rsidR="005B5C58" w:rsidRPr="000F768B" w:rsidRDefault="005B5C58" w:rsidP="00DC694D">
            <w:pPr>
              <w:keepNext/>
              <w:keepLines/>
              <w:jc w:val="center"/>
              <w:rPr>
                <w:rFonts w:asciiTheme="majorHAnsi" w:hAnsiTheme="majorHAnsi" w:cs="Arial"/>
                <w:b/>
                <w:szCs w:val="19"/>
              </w:rPr>
            </w:pPr>
            <w:r w:rsidRPr="000F768B">
              <w:rPr>
                <w:rFonts w:asciiTheme="majorHAnsi" w:hAnsiTheme="majorHAnsi" w:cs="Arial"/>
                <w:b/>
                <w:szCs w:val="19"/>
              </w:rPr>
              <w:t>Quarter 2</w:t>
            </w:r>
          </w:p>
        </w:tc>
        <w:tc>
          <w:tcPr>
            <w:tcW w:w="1474" w:type="dxa"/>
            <w:shd w:val="clear" w:color="auto" w:fill="auto"/>
            <w:vAlign w:val="center"/>
          </w:tcPr>
          <w:p w14:paraId="72851042" w14:textId="77777777" w:rsidR="005B5C58" w:rsidRPr="000F768B" w:rsidRDefault="005B5C58" w:rsidP="00DC694D">
            <w:pPr>
              <w:keepNext/>
              <w:keepLines/>
              <w:jc w:val="center"/>
              <w:rPr>
                <w:rFonts w:asciiTheme="majorHAnsi" w:hAnsiTheme="majorHAnsi" w:cs="Arial"/>
                <w:b/>
                <w:szCs w:val="19"/>
              </w:rPr>
            </w:pPr>
            <w:r w:rsidRPr="000F768B">
              <w:rPr>
                <w:rFonts w:asciiTheme="majorHAnsi" w:hAnsiTheme="majorHAnsi" w:cs="Arial"/>
                <w:b/>
                <w:szCs w:val="19"/>
              </w:rPr>
              <w:t>Quarter 3</w:t>
            </w:r>
          </w:p>
        </w:tc>
        <w:tc>
          <w:tcPr>
            <w:tcW w:w="1474" w:type="dxa"/>
            <w:shd w:val="clear" w:color="auto" w:fill="auto"/>
            <w:vAlign w:val="center"/>
          </w:tcPr>
          <w:p w14:paraId="72851043" w14:textId="77777777" w:rsidR="005B5C58" w:rsidRPr="000F768B" w:rsidRDefault="005B5C58" w:rsidP="00DC694D">
            <w:pPr>
              <w:keepNext/>
              <w:keepLines/>
              <w:jc w:val="center"/>
              <w:rPr>
                <w:rFonts w:asciiTheme="majorHAnsi" w:hAnsiTheme="majorHAnsi" w:cs="Arial"/>
                <w:b/>
                <w:szCs w:val="19"/>
              </w:rPr>
            </w:pPr>
            <w:r w:rsidRPr="000F768B">
              <w:rPr>
                <w:rFonts w:asciiTheme="majorHAnsi" w:hAnsiTheme="majorHAnsi" w:cs="Arial"/>
                <w:b/>
                <w:szCs w:val="19"/>
              </w:rPr>
              <w:t>Quarter 4</w:t>
            </w:r>
          </w:p>
        </w:tc>
        <w:tc>
          <w:tcPr>
            <w:tcW w:w="1474" w:type="dxa"/>
            <w:shd w:val="clear" w:color="auto" w:fill="auto"/>
            <w:vAlign w:val="center"/>
          </w:tcPr>
          <w:p w14:paraId="72851044" w14:textId="77777777" w:rsidR="005B5C58" w:rsidRPr="000F768B" w:rsidRDefault="005B5C58" w:rsidP="00DC694D">
            <w:pPr>
              <w:keepNext/>
              <w:keepLines/>
              <w:jc w:val="center"/>
              <w:rPr>
                <w:rFonts w:asciiTheme="majorHAnsi" w:hAnsiTheme="majorHAnsi" w:cs="Arial"/>
                <w:b/>
                <w:szCs w:val="19"/>
              </w:rPr>
            </w:pPr>
            <w:r w:rsidRPr="000F768B">
              <w:rPr>
                <w:rFonts w:asciiTheme="majorHAnsi" w:hAnsiTheme="majorHAnsi" w:cs="Arial"/>
                <w:b/>
                <w:szCs w:val="19"/>
              </w:rPr>
              <w:t>Total YTD</w:t>
            </w:r>
          </w:p>
        </w:tc>
      </w:tr>
      <w:tr w:rsidR="005B5C58" w:rsidRPr="000F768B" w14:paraId="7285104C" w14:textId="77777777" w:rsidTr="00AC66DF">
        <w:trPr>
          <w:cantSplit/>
          <w:trHeight w:val="510"/>
        </w:trPr>
        <w:tc>
          <w:tcPr>
            <w:tcW w:w="1701" w:type="dxa"/>
            <w:shd w:val="clear" w:color="auto" w:fill="auto"/>
            <w:vAlign w:val="center"/>
          </w:tcPr>
          <w:p w14:paraId="72851046" w14:textId="77777777" w:rsidR="005B5C58" w:rsidRPr="00597889" w:rsidRDefault="005B5C58" w:rsidP="00DC694D">
            <w:pPr>
              <w:keepNext/>
              <w:keepLines/>
              <w:rPr>
                <w:rFonts w:asciiTheme="majorHAnsi" w:hAnsiTheme="majorHAnsi" w:cs="Arial"/>
                <w:b/>
                <w:szCs w:val="19"/>
              </w:rPr>
            </w:pPr>
            <w:r w:rsidRPr="00597889">
              <w:rPr>
                <w:rFonts w:asciiTheme="majorHAnsi" w:hAnsiTheme="majorHAnsi" w:cs="Arial"/>
                <w:b/>
                <w:szCs w:val="19"/>
              </w:rPr>
              <w:t>Relay service</w:t>
            </w:r>
          </w:p>
        </w:tc>
        <w:tc>
          <w:tcPr>
            <w:tcW w:w="1474" w:type="dxa"/>
            <w:shd w:val="clear" w:color="auto" w:fill="auto"/>
            <w:vAlign w:val="center"/>
          </w:tcPr>
          <w:p w14:paraId="72851047" w14:textId="77777777" w:rsidR="005B5C58" w:rsidRPr="00597889" w:rsidRDefault="005B5C58" w:rsidP="00DC694D">
            <w:pPr>
              <w:keepNext/>
              <w:keepLines/>
              <w:jc w:val="center"/>
              <w:rPr>
                <w:rFonts w:asciiTheme="majorHAnsi" w:hAnsiTheme="majorHAnsi" w:cs="Arial"/>
                <w:szCs w:val="19"/>
              </w:rPr>
            </w:pPr>
            <w:r w:rsidRPr="00597889">
              <w:rPr>
                <w:rFonts w:asciiTheme="majorHAnsi" w:hAnsiTheme="majorHAnsi" w:cs="Arial"/>
                <w:szCs w:val="19"/>
              </w:rPr>
              <w:t>$5,152,548</w:t>
            </w:r>
          </w:p>
        </w:tc>
        <w:tc>
          <w:tcPr>
            <w:tcW w:w="1474" w:type="dxa"/>
            <w:shd w:val="clear" w:color="auto" w:fill="auto"/>
            <w:vAlign w:val="center"/>
          </w:tcPr>
          <w:p w14:paraId="72851048" w14:textId="77777777" w:rsidR="005B5C58" w:rsidRPr="00597889" w:rsidRDefault="005B5C58" w:rsidP="00DC694D">
            <w:pPr>
              <w:keepNext/>
              <w:keepLines/>
              <w:jc w:val="center"/>
              <w:rPr>
                <w:rFonts w:asciiTheme="majorHAnsi" w:hAnsiTheme="majorHAnsi" w:cs="Arial"/>
                <w:szCs w:val="19"/>
              </w:rPr>
            </w:pPr>
            <w:r>
              <w:rPr>
                <w:rFonts w:asciiTheme="majorHAnsi" w:hAnsiTheme="majorHAnsi" w:cs="Arial"/>
                <w:szCs w:val="19"/>
              </w:rPr>
              <w:t>$5,246,979</w:t>
            </w:r>
          </w:p>
        </w:tc>
        <w:tc>
          <w:tcPr>
            <w:tcW w:w="1474" w:type="dxa"/>
            <w:shd w:val="clear" w:color="auto" w:fill="auto"/>
            <w:vAlign w:val="center"/>
          </w:tcPr>
          <w:p w14:paraId="72851049" w14:textId="77777777" w:rsidR="005B5C58" w:rsidRPr="00597889" w:rsidRDefault="005B5C58" w:rsidP="00DC694D">
            <w:pPr>
              <w:keepNext/>
              <w:keepLines/>
              <w:jc w:val="center"/>
              <w:rPr>
                <w:rFonts w:asciiTheme="majorHAnsi" w:hAnsiTheme="majorHAnsi" w:cs="Arial"/>
                <w:szCs w:val="19"/>
              </w:rPr>
            </w:pPr>
            <w:r w:rsidRPr="001032F5">
              <w:rPr>
                <w:rFonts w:asciiTheme="majorHAnsi" w:hAnsiTheme="majorHAnsi" w:cs="Arial"/>
                <w:szCs w:val="19"/>
              </w:rPr>
              <w:t>$5,593,155</w:t>
            </w:r>
          </w:p>
        </w:tc>
        <w:tc>
          <w:tcPr>
            <w:tcW w:w="1474" w:type="dxa"/>
            <w:shd w:val="clear" w:color="auto" w:fill="auto"/>
            <w:vAlign w:val="center"/>
          </w:tcPr>
          <w:p w14:paraId="7285104A" w14:textId="77777777" w:rsidR="005B5C58" w:rsidRPr="00597889" w:rsidRDefault="005B5C58" w:rsidP="00DC694D">
            <w:pPr>
              <w:keepNext/>
              <w:keepLines/>
              <w:jc w:val="center"/>
              <w:rPr>
                <w:rFonts w:asciiTheme="majorHAnsi" w:hAnsiTheme="majorHAnsi" w:cs="Arial"/>
                <w:szCs w:val="19"/>
              </w:rPr>
            </w:pPr>
          </w:p>
        </w:tc>
        <w:tc>
          <w:tcPr>
            <w:tcW w:w="1474" w:type="dxa"/>
            <w:shd w:val="clear" w:color="auto" w:fill="auto"/>
            <w:vAlign w:val="center"/>
          </w:tcPr>
          <w:p w14:paraId="7285104B" w14:textId="77777777" w:rsidR="005B5C58" w:rsidRPr="000F768B" w:rsidRDefault="005B5C58" w:rsidP="00DC694D">
            <w:pPr>
              <w:keepNext/>
              <w:keepLines/>
              <w:jc w:val="center"/>
              <w:rPr>
                <w:rFonts w:asciiTheme="majorHAnsi" w:hAnsiTheme="majorHAnsi" w:cs="Arial"/>
                <w:szCs w:val="19"/>
              </w:rPr>
            </w:pPr>
            <w:r w:rsidRPr="00597889">
              <w:rPr>
                <w:rFonts w:asciiTheme="majorHAnsi" w:hAnsiTheme="majorHAnsi" w:cs="Arial"/>
                <w:szCs w:val="19"/>
              </w:rPr>
              <w:t>$</w:t>
            </w:r>
            <w:r>
              <w:rPr>
                <w:rFonts w:asciiTheme="majorHAnsi" w:hAnsiTheme="majorHAnsi" w:cs="Arial"/>
                <w:szCs w:val="19"/>
              </w:rPr>
              <w:t>15,992,682</w:t>
            </w:r>
          </w:p>
        </w:tc>
      </w:tr>
      <w:tr w:rsidR="005B5C58" w:rsidRPr="000F768B" w14:paraId="72851053" w14:textId="77777777" w:rsidTr="00AC66DF">
        <w:trPr>
          <w:cantSplit/>
          <w:trHeight w:val="510"/>
        </w:trPr>
        <w:tc>
          <w:tcPr>
            <w:tcW w:w="1701" w:type="dxa"/>
            <w:tcBorders>
              <w:bottom w:val="single" w:sz="4" w:space="0" w:color="auto"/>
            </w:tcBorders>
            <w:shd w:val="clear" w:color="auto" w:fill="auto"/>
            <w:vAlign w:val="center"/>
          </w:tcPr>
          <w:p w14:paraId="7285104D" w14:textId="77777777" w:rsidR="005B5C58" w:rsidRPr="000F768B" w:rsidRDefault="005B5C58" w:rsidP="00DC694D">
            <w:pPr>
              <w:keepNext/>
              <w:keepLines/>
              <w:rPr>
                <w:rFonts w:asciiTheme="majorHAnsi" w:hAnsiTheme="majorHAnsi" w:cs="Arial"/>
                <w:b/>
                <w:szCs w:val="19"/>
              </w:rPr>
            </w:pPr>
            <w:r w:rsidRPr="000F768B">
              <w:rPr>
                <w:rFonts w:asciiTheme="majorHAnsi" w:hAnsiTheme="majorHAnsi" w:cs="Arial"/>
                <w:b/>
                <w:szCs w:val="19"/>
              </w:rPr>
              <w:t>Outreach service</w:t>
            </w:r>
          </w:p>
        </w:tc>
        <w:tc>
          <w:tcPr>
            <w:tcW w:w="1474" w:type="dxa"/>
            <w:tcBorders>
              <w:bottom w:val="single" w:sz="4" w:space="0" w:color="auto"/>
            </w:tcBorders>
            <w:shd w:val="clear" w:color="auto" w:fill="auto"/>
            <w:vAlign w:val="center"/>
          </w:tcPr>
          <w:p w14:paraId="7285104E" w14:textId="77777777" w:rsidR="005B5C58" w:rsidRPr="000F768B" w:rsidRDefault="005B5C58" w:rsidP="00DC694D">
            <w:pPr>
              <w:keepNext/>
              <w:keepLines/>
              <w:jc w:val="center"/>
              <w:rPr>
                <w:rFonts w:asciiTheme="majorHAnsi" w:hAnsiTheme="majorHAnsi" w:cs="Arial"/>
                <w:szCs w:val="19"/>
              </w:rPr>
            </w:pPr>
            <w:r>
              <w:rPr>
                <w:rFonts w:asciiTheme="majorHAnsi" w:hAnsiTheme="majorHAnsi" w:cs="Arial"/>
                <w:szCs w:val="19"/>
              </w:rPr>
              <w:t>$1,047,549</w:t>
            </w:r>
          </w:p>
        </w:tc>
        <w:tc>
          <w:tcPr>
            <w:tcW w:w="1474" w:type="dxa"/>
            <w:tcBorders>
              <w:bottom w:val="single" w:sz="4" w:space="0" w:color="auto"/>
            </w:tcBorders>
            <w:shd w:val="clear" w:color="auto" w:fill="auto"/>
            <w:vAlign w:val="center"/>
          </w:tcPr>
          <w:p w14:paraId="7285104F" w14:textId="77777777" w:rsidR="005B5C58" w:rsidRPr="000F768B" w:rsidRDefault="005B5C58" w:rsidP="00DC694D">
            <w:pPr>
              <w:keepNext/>
              <w:keepLines/>
              <w:jc w:val="center"/>
              <w:rPr>
                <w:rFonts w:asciiTheme="majorHAnsi" w:hAnsiTheme="majorHAnsi" w:cs="Arial"/>
                <w:szCs w:val="19"/>
              </w:rPr>
            </w:pPr>
            <w:r>
              <w:rPr>
                <w:rFonts w:asciiTheme="majorHAnsi" w:hAnsiTheme="majorHAnsi" w:cs="Arial"/>
                <w:szCs w:val="19"/>
              </w:rPr>
              <w:t>$1,047,549</w:t>
            </w:r>
          </w:p>
        </w:tc>
        <w:tc>
          <w:tcPr>
            <w:tcW w:w="1474" w:type="dxa"/>
            <w:tcBorders>
              <w:bottom w:val="single" w:sz="4" w:space="0" w:color="auto"/>
            </w:tcBorders>
            <w:shd w:val="clear" w:color="auto" w:fill="auto"/>
            <w:vAlign w:val="center"/>
          </w:tcPr>
          <w:p w14:paraId="72851050" w14:textId="77777777" w:rsidR="005B5C58" w:rsidRPr="000F768B" w:rsidRDefault="005B5C58" w:rsidP="00DC694D">
            <w:pPr>
              <w:keepNext/>
              <w:keepLines/>
              <w:jc w:val="center"/>
              <w:rPr>
                <w:rFonts w:asciiTheme="majorHAnsi" w:hAnsiTheme="majorHAnsi" w:cs="Arial"/>
                <w:szCs w:val="19"/>
              </w:rPr>
            </w:pPr>
            <w:r>
              <w:rPr>
                <w:rFonts w:asciiTheme="majorHAnsi" w:hAnsiTheme="majorHAnsi" w:cs="Arial"/>
                <w:szCs w:val="19"/>
              </w:rPr>
              <w:t>$1,047,549</w:t>
            </w:r>
          </w:p>
        </w:tc>
        <w:tc>
          <w:tcPr>
            <w:tcW w:w="1474" w:type="dxa"/>
            <w:tcBorders>
              <w:bottom w:val="single" w:sz="4" w:space="0" w:color="auto"/>
            </w:tcBorders>
            <w:shd w:val="clear" w:color="auto" w:fill="auto"/>
            <w:vAlign w:val="center"/>
          </w:tcPr>
          <w:p w14:paraId="72851051" w14:textId="77777777" w:rsidR="005B5C58" w:rsidRPr="000F768B" w:rsidRDefault="005B5C58" w:rsidP="00DC694D">
            <w:pPr>
              <w:keepNext/>
              <w:keepLines/>
              <w:jc w:val="center"/>
              <w:rPr>
                <w:rFonts w:asciiTheme="majorHAnsi" w:hAnsiTheme="majorHAnsi" w:cs="Arial"/>
                <w:szCs w:val="19"/>
              </w:rPr>
            </w:pPr>
          </w:p>
        </w:tc>
        <w:tc>
          <w:tcPr>
            <w:tcW w:w="1474" w:type="dxa"/>
            <w:tcBorders>
              <w:bottom w:val="single" w:sz="4" w:space="0" w:color="auto"/>
            </w:tcBorders>
            <w:shd w:val="clear" w:color="auto" w:fill="auto"/>
            <w:vAlign w:val="center"/>
          </w:tcPr>
          <w:p w14:paraId="72851052" w14:textId="77777777" w:rsidR="005B5C58" w:rsidRPr="000F768B" w:rsidRDefault="005B5C58" w:rsidP="00DC694D">
            <w:pPr>
              <w:keepNext/>
              <w:keepLines/>
              <w:jc w:val="center"/>
              <w:rPr>
                <w:rFonts w:asciiTheme="majorHAnsi" w:hAnsiTheme="majorHAnsi" w:cs="Arial"/>
                <w:szCs w:val="19"/>
              </w:rPr>
            </w:pPr>
            <w:r w:rsidRPr="000F768B">
              <w:rPr>
                <w:rFonts w:asciiTheme="majorHAnsi" w:hAnsiTheme="majorHAnsi" w:cs="Arial"/>
                <w:szCs w:val="19"/>
              </w:rPr>
              <w:t>$</w:t>
            </w:r>
            <w:r>
              <w:rPr>
                <w:rFonts w:asciiTheme="majorHAnsi" w:hAnsiTheme="majorHAnsi" w:cs="Arial"/>
                <w:szCs w:val="19"/>
              </w:rPr>
              <w:t>3,142,647</w:t>
            </w:r>
          </w:p>
        </w:tc>
      </w:tr>
      <w:tr w:rsidR="005B5C58" w:rsidRPr="000F768B" w14:paraId="7285105A" w14:textId="77777777" w:rsidTr="00AC66DF">
        <w:trPr>
          <w:cantSplit/>
          <w:trHeight w:val="510"/>
        </w:trPr>
        <w:tc>
          <w:tcPr>
            <w:tcW w:w="1701" w:type="dxa"/>
            <w:tcBorders>
              <w:top w:val="single" w:sz="4" w:space="0" w:color="auto"/>
              <w:bottom w:val="single" w:sz="4" w:space="0" w:color="auto"/>
            </w:tcBorders>
            <w:shd w:val="clear" w:color="auto" w:fill="auto"/>
            <w:vAlign w:val="center"/>
          </w:tcPr>
          <w:p w14:paraId="72851054" w14:textId="77777777" w:rsidR="005B5C58" w:rsidRPr="00597889" w:rsidRDefault="005B5C58" w:rsidP="00DC694D">
            <w:pPr>
              <w:rPr>
                <w:rFonts w:asciiTheme="majorHAnsi" w:hAnsiTheme="majorHAnsi" w:cs="Arial"/>
                <w:b/>
                <w:szCs w:val="19"/>
              </w:rPr>
            </w:pPr>
            <w:r w:rsidRPr="00597889">
              <w:rPr>
                <w:rFonts w:asciiTheme="majorHAnsi" w:hAnsiTheme="majorHAnsi" w:cs="Arial"/>
                <w:b/>
                <w:szCs w:val="19"/>
              </w:rPr>
              <w:t>Total</w:t>
            </w:r>
          </w:p>
        </w:tc>
        <w:tc>
          <w:tcPr>
            <w:tcW w:w="1474" w:type="dxa"/>
            <w:tcBorders>
              <w:top w:val="single" w:sz="4" w:space="0" w:color="auto"/>
              <w:bottom w:val="single" w:sz="4" w:space="0" w:color="auto"/>
            </w:tcBorders>
            <w:shd w:val="clear" w:color="auto" w:fill="auto"/>
            <w:vAlign w:val="center"/>
          </w:tcPr>
          <w:p w14:paraId="72851055" w14:textId="77777777" w:rsidR="005B5C58" w:rsidRPr="00597889" w:rsidRDefault="005B5C58" w:rsidP="00DC694D">
            <w:pPr>
              <w:jc w:val="center"/>
              <w:rPr>
                <w:rFonts w:asciiTheme="majorHAnsi" w:hAnsiTheme="majorHAnsi" w:cs="Arial"/>
                <w:b/>
                <w:szCs w:val="19"/>
              </w:rPr>
            </w:pPr>
            <w:r w:rsidRPr="00597889">
              <w:rPr>
                <w:rFonts w:asciiTheme="majorHAnsi" w:hAnsiTheme="majorHAnsi" w:cs="Arial"/>
                <w:b/>
                <w:szCs w:val="19"/>
              </w:rPr>
              <w:t>$6,200,097</w:t>
            </w:r>
          </w:p>
        </w:tc>
        <w:tc>
          <w:tcPr>
            <w:tcW w:w="1474" w:type="dxa"/>
            <w:tcBorders>
              <w:top w:val="single" w:sz="4" w:space="0" w:color="auto"/>
              <w:bottom w:val="single" w:sz="4" w:space="0" w:color="auto"/>
            </w:tcBorders>
            <w:shd w:val="clear" w:color="auto" w:fill="auto"/>
            <w:vAlign w:val="center"/>
          </w:tcPr>
          <w:p w14:paraId="72851056" w14:textId="77777777" w:rsidR="005B5C58" w:rsidRPr="00597889" w:rsidRDefault="005B5C58" w:rsidP="00DC694D">
            <w:pPr>
              <w:jc w:val="center"/>
              <w:rPr>
                <w:rFonts w:asciiTheme="majorHAnsi" w:hAnsiTheme="majorHAnsi" w:cs="Arial"/>
                <w:b/>
                <w:szCs w:val="19"/>
              </w:rPr>
            </w:pPr>
            <w:r>
              <w:rPr>
                <w:rFonts w:asciiTheme="majorHAnsi" w:hAnsiTheme="majorHAnsi" w:cs="Arial"/>
                <w:b/>
                <w:szCs w:val="19"/>
              </w:rPr>
              <w:t>$6,294,528</w:t>
            </w:r>
          </w:p>
        </w:tc>
        <w:tc>
          <w:tcPr>
            <w:tcW w:w="1474" w:type="dxa"/>
            <w:tcBorders>
              <w:top w:val="single" w:sz="4" w:space="0" w:color="auto"/>
              <w:bottom w:val="single" w:sz="4" w:space="0" w:color="auto"/>
            </w:tcBorders>
            <w:shd w:val="clear" w:color="auto" w:fill="auto"/>
            <w:vAlign w:val="center"/>
          </w:tcPr>
          <w:p w14:paraId="72851057" w14:textId="77777777" w:rsidR="005B5C58" w:rsidRPr="00597889" w:rsidRDefault="005B5C58" w:rsidP="00DC694D">
            <w:pPr>
              <w:jc w:val="center"/>
              <w:rPr>
                <w:rFonts w:asciiTheme="majorHAnsi" w:hAnsiTheme="majorHAnsi" w:cs="Arial"/>
                <w:b/>
                <w:szCs w:val="19"/>
              </w:rPr>
            </w:pPr>
            <w:r>
              <w:rPr>
                <w:rFonts w:asciiTheme="majorHAnsi" w:hAnsiTheme="majorHAnsi" w:cs="Arial"/>
                <w:b/>
                <w:szCs w:val="19"/>
              </w:rPr>
              <w:t>$6,640,704</w:t>
            </w:r>
          </w:p>
        </w:tc>
        <w:tc>
          <w:tcPr>
            <w:tcW w:w="1474" w:type="dxa"/>
            <w:tcBorders>
              <w:top w:val="single" w:sz="4" w:space="0" w:color="auto"/>
              <w:bottom w:val="single" w:sz="4" w:space="0" w:color="auto"/>
            </w:tcBorders>
            <w:shd w:val="clear" w:color="auto" w:fill="auto"/>
            <w:vAlign w:val="center"/>
          </w:tcPr>
          <w:p w14:paraId="72851058" w14:textId="77777777" w:rsidR="005B5C58" w:rsidRPr="00597889" w:rsidRDefault="005B5C58" w:rsidP="00DC694D">
            <w:pPr>
              <w:jc w:val="center"/>
              <w:rPr>
                <w:rFonts w:asciiTheme="majorHAnsi" w:hAnsiTheme="majorHAnsi" w:cs="Arial"/>
                <w:b/>
                <w:szCs w:val="19"/>
              </w:rPr>
            </w:pPr>
          </w:p>
        </w:tc>
        <w:tc>
          <w:tcPr>
            <w:tcW w:w="1474" w:type="dxa"/>
            <w:tcBorders>
              <w:top w:val="single" w:sz="4" w:space="0" w:color="auto"/>
              <w:bottom w:val="single" w:sz="4" w:space="0" w:color="auto"/>
            </w:tcBorders>
            <w:shd w:val="clear" w:color="auto" w:fill="auto"/>
            <w:vAlign w:val="center"/>
          </w:tcPr>
          <w:p w14:paraId="72851059" w14:textId="77777777" w:rsidR="005B5C58" w:rsidRPr="000F768B" w:rsidRDefault="005B5C58" w:rsidP="00DC694D">
            <w:pPr>
              <w:jc w:val="center"/>
              <w:rPr>
                <w:rFonts w:asciiTheme="majorHAnsi" w:hAnsiTheme="majorHAnsi" w:cs="Arial"/>
                <w:b/>
                <w:szCs w:val="19"/>
              </w:rPr>
            </w:pPr>
            <w:r w:rsidRPr="00597889">
              <w:rPr>
                <w:rFonts w:asciiTheme="majorHAnsi" w:hAnsiTheme="majorHAnsi" w:cs="Arial"/>
                <w:b/>
                <w:szCs w:val="19"/>
              </w:rPr>
              <w:t>$</w:t>
            </w:r>
            <w:r>
              <w:rPr>
                <w:rFonts w:asciiTheme="majorHAnsi" w:hAnsiTheme="majorHAnsi" w:cs="Arial"/>
                <w:b/>
                <w:szCs w:val="19"/>
              </w:rPr>
              <w:t>19,135,329</w:t>
            </w:r>
          </w:p>
        </w:tc>
      </w:tr>
    </w:tbl>
    <w:p w14:paraId="7285105C" w14:textId="449C5E8C" w:rsidR="005B5C58" w:rsidRPr="003D09F1" w:rsidRDefault="005B5C58" w:rsidP="00401079">
      <w:pPr>
        <w:pStyle w:val="Heading2"/>
        <w:pageBreakBefore/>
      </w:pPr>
      <w:r w:rsidRPr="003D09F1">
        <w:t>Service level perf</w:t>
      </w:r>
      <w:r w:rsidR="0030427B">
        <w:t>ormance: relay service provider</w:t>
      </w:r>
    </w:p>
    <w:p w14:paraId="7285105D" w14:textId="4BE741B8" w:rsidR="005B5C58" w:rsidRPr="00E541EC" w:rsidRDefault="005B5C58" w:rsidP="00E541EC">
      <w:pPr>
        <w:rPr>
          <w:rFonts w:asciiTheme="majorHAnsi" w:hAnsiTheme="majorHAnsi"/>
        </w:rPr>
      </w:pPr>
      <w:r w:rsidRPr="00E541EC">
        <w:rPr>
          <w:rFonts w:asciiTheme="majorHAnsi" w:hAnsiTheme="majorHAnsi"/>
        </w:rPr>
        <w:t xml:space="preserve">The relay service provider’s performance in </w:t>
      </w:r>
      <w:r w:rsidR="0030427B">
        <w:rPr>
          <w:rFonts w:asciiTheme="majorHAnsi" w:hAnsiTheme="majorHAnsi"/>
        </w:rPr>
        <w:t>2015–16</w:t>
      </w:r>
      <w:r w:rsidRPr="00E541EC">
        <w:rPr>
          <w:rFonts w:asciiTheme="majorHAnsi" w:hAnsiTheme="majorHAnsi"/>
        </w:rPr>
        <w:t xml:space="preserve"> is measured monthly against the following service levels:</w:t>
      </w:r>
    </w:p>
    <w:p w14:paraId="7285105E" w14:textId="77777777" w:rsidR="005B5C58" w:rsidRPr="00076137" w:rsidRDefault="005B5C58" w:rsidP="00E541EC">
      <w:pPr>
        <w:pStyle w:val="Bulletlevel1"/>
        <w:rPr>
          <w:rFonts w:asciiTheme="majorHAnsi" w:hAnsiTheme="majorHAnsi"/>
        </w:rPr>
      </w:pPr>
      <w:r w:rsidRPr="00076137">
        <w:rPr>
          <w:rFonts w:asciiTheme="majorHAnsi" w:hAnsiTheme="majorHAnsi"/>
          <w:b/>
        </w:rPr>
        <w:t>Service level 1 (a):</w:t>
      </w:r>
      <w:r w:rsidRPr="00076137">
        <w:rPr>
          <w:rFonts w:asciiTheme="majorHAnsi" w:hAnsiTheme="majorHAnsi"/>
        </w:rPr>
        <w:t xml:space="preserve"> at least 85 per cent of calls are answered by a call taker within five seconds of reaching the relevant answering point for the call</w:t>
      </w:r>
    </w:p>
    <w:p w14:paraId="7285105F" w14:textId="77777777" w:rsidR="005B5C58" w:rsidRPr="00076137" w:rsidRDefault="005B5C58" w:rsidP="00E541EC">
      <w:pPr>
        <w:pStyle w:val="Bulletlevel1"/>
        <w:rPr>
          <w:rFonts w:asciiTheme="majorHAnsi" w:hAnsiTheme="majorHAnsi"/>
        </w:rPr>
      </w:pPr>
      <w:r w:rsidRPr="00076137">
        <w:rPr>
          <w:rFonts w:asciiTheme="majorHAnsi" w:hAnsiTheme="majorHAnsi"/>
          <w:b/>
        </w:rPr>
        <w:t>Service level 1 (b):</w:t>
      </w:r>
      <w:r w:rsidRPr="00076137">
        <w:rPr>
          <w:rFonts w:asciiTheme="majorHAnsi" w:hAnsiTheme="majorHAnsi"/>
        </w:rPr>
        <w:t xml:space="preserve"> at least 95 per cent of calls are answered by a call taker within 10 seconds of reaching the relevant answering point for the call</w:t>
      </w:r>
    </w:p>
    <w:p w14:paraId="72851060" w14:textId="77777777" w:rsidR="005B5C58" w:rsidRPr="00076137" w:rsidRDefault="005B5C58" w:rsidP="00E541EC">
      <w:pPr>
        <w:pStyle w:val="Bulletlevel1"/>
        <w:rPr>
          <w:rFonts w:asciiTheme="majorHAnsi" w:hAnsiTheme="majorHAnsi"/>
        </w:rPr>
      </w:pPr>
      <w:r w:rsidRPr="00076137">
        <w:rPr>
          <w:rFonts w:asciiTheme="majorHAnsi" w:hAnsiTheme="majorHAnsi"/>
          <w:b/>
        </w:rPr>
        <w:t>Service level 2:</w:t>
      </w:r>
      <w:r w:rsidRPr="00076137">
        <w:rPr>
          <w:rFonts w:asciiTheme="majorHAnsi" w:hAnsiTheme="majorHAnsi"/>
        </w:rPr>
        <w:t xml:space="preserve"> n</w:t>
      </w:r>
      <w:r w:rsidRPr="00076137">
        <w:rPr>
          <w:rFonts w:asciiTheme="majorHAnsi" w:eastAsiaTheme="minorEastAsia" w:hAnsiTheme="majorHAnsi"/>
          <w:snapToGrid w:val="0"/>
          <w:lang w:val="en-US"/>
        </w:rPr>
        <w:t>o more than two per cent of calls abandoned after leaving the Interactive Voice Response (IVR) or being presented to the call routing queue (monthly average)</w:t>
      </w:r>
    </w:p>
    <w:p w14:paraId="72851061" w14:textId="77777777" w:rsidR="005B5C58" w:rsidRPr="00076137" w:rsidRDefault="005B5C58" w:rsidP="00E541EC">
      <w:pPr>
        <w:pStyle w:val="Bulletlevel1"/>
        <w:rPr>
          <w:rFonts w:asciiTheme="majorHAnsi" w:hAnsiTheme="majorHAnsi"/>
        </w:rPr>
      </w:pPr>
      <w:r w:rsidRPr="00076137">
        <w:rPr>
          <w:rFonts w:asciiTheme="majorHAnsi" w:hAnsiTheme="majorHAnsi"/>
          <w:b/>
        </w:rPr>
        <w:t>Service level 3:</w:t>
      </w:r>
      <w:r w:rsidRPr="00076137">
        <w:rPr>
          <w:rFonts w:asciiTheme="majorHAnsi" w:hAnsiTheme="majorHAnsi"/>
        </w:rPr>
        <w:t xml:space="preserve"> no less than 95 per cent raw accuracy of words (excluding video relay). Raw accuracy is measured through monthly staff assessments of relay officers.</w:t>
      </w:r>
    </w:p>
    <w:p w14:paraId="72851062" w14:textId="77777777" w:rsidR="005B5C58" w:rsidRPr="00E541EC" w:rsidRDefault="005B5C58" w:rsidP="00E541EC">
      <w:pPr>
        <w:rPr>
          <w:rFonts w:asciiTheme="majorHAnsi" w:hAnsiTheme="majorHAnsi" w:cs="Arial"/>
          <w:bCs/>
        </w:rPr>
      </w:pPr>
      <w:r w:rsidRPr="00E541EC">
        <w:rPr>
          <w:rFonts w:asciiTheme="majorHAnsi" w:hAnsiTheme="majorHAnsi" w:cs="Arial"/>
          <w:bCs/>
        </w:rPr>
        <w:t xml:space="preserve">The relay service provider’s performance against these service levels is outlined in </w:t>
      </w:r>
      <w:r w:rsidR="00333144">
        <w:rPr>
          <w:rFonts w:asciiTheme="majorHAnsi" w:hAnsiTheme="majorHAnsi" w:cs="Arial"/>
          <w:bCs/>
        </w:rPr>
        <w:t>T</w:t>
      </w:r>
      <w:r w:rsidRPr="00E541EC">
        <w:rPr>
          <w:rFonts w:asciiTheme="majorHAnsi" w:hAnsiTheme="majorHAnsi" w:cs="Arial"/>
          <w:bCs/>
        </w:rPr>
        <w:t xml:space="preserve">able </w:t>
      </w:r>
      <w:r w:rsidR="00333144">
        <w:rPr>
          <w:rFonts w:asciiTheme="majorHAnsi" w:hAnsiTheme="majorHAnsi" w:cs="Arial"/>
          <w:bCs/>
        </w:rPr>
        <w:t xml:space="preserve">2 </w:t>
      </w:r>
      <w:r w:rsidRPr="00E541EC">
        <w:rPr>
          <w:rFonts w:asciiTheme="majorHAnsi" w:hAnsiTheme="majorHAnsi" w:cs="Arial"/>
          <w:bCs/>
        </w:rPr>
        <w:t>below:</w:t>
      </w:r>
    </w:p>
    <w:p w14:paraId="72851063" w14:textId="77777777" w:rsidR="005B5C58" w:rsidRPr="00E541EC" w:rsidRDefault="00333144" w:rsidP="00E541EC">
      <w:pPr>
        <w:pStyle w:val="Tablefigureheading"/>
      </w:pPr>
      <w:r>
        <w:t xml:space="preserve">Table 2. </w:t>
      </w:r>
      <w:r w:rsidR="005B5C58" w:rsidRPr="00E541EC">
        <w:t>Service level performance: relay service provider</w:t>
      </w:r>
    </w:p>
    <w:tbl>
      <w:tblPr>
        <w:tblW w:w="9498" w:type="dxa"/>
        <w:tblBorders>
          <w:bottom w:val="single" w:sz="4" w:space="0" w:color="auto"/>
          <w:insideH w:val="single" w:sz="4" w:space="0" w:color="auto"/>
        </w:tblBorders>
        <w:tblCellMar>
          <w:top w:w="85" w:type="dxa"/>
          <w:left w:w="0" w:type="dxa"/>
          <w:bottom w:w="85" w:type="dxa"/>
          <w:right w:w="0" w:type="dxa"/>
        </w:tblCellMar>
        <w:tblLook w:val="0000" w:firstRow="0" w:lastRow="0" w:firstColumn="0" w:lastColumn="0" w:noHBand="0" w:noVBand="0"/>
      </w:tblPr>
      <w:tblGrid>
        <w:gridCol w:w="1526"/>
        <w:gridCol w:w="886"/>
        <w:gridCol w:w="886"/>
        <w:gridCol w:w="886"/>
        <w:gridCol w:w="886"/>
        <w:gridCol w:w="886"/>
        <w:gridCol w:w="886"/>
        <w:gridCol w:w="886"/>
        <w:gridCol w:w="885"/>
        <w:gridCol w:w="885"/>
      </w:tblGrid>
      <w:tr w:rsidR="00076137" w:rsidRPr="00E541EC" w14:paraId="7285106E" w14:textId="77777777" w:rsidTr="00076137">
        <w:trPr>
          <w:trHeight w:val="510"/>
        </w:trPr>
        <w:tc>
          <w:tcPr>
            <w:tcW w:w="802" w:type="pct"/>
            <w:shd w:val="clear" w:color="auto" w:fill="auto"/>
            <w:vAlign w:val="center"/>
          </w:tcPr>
          <w:p w14:paraId="72851064" w14:textId="77777777" w:rsidR="005B5C58" w:rsidRPr="00E541EC" w:rsidRDefault="005B5C58" w:rsidP="00DC694D">
            <w:pPr>
              <w:pStyle w:val="ExariBodyLeft11"/>
              <w:keepNext/>
              <w:spacing w:before="0" w:after="0"/>
              <w:rPr>
                <w:rFonts w:asciiTheme="majorHAnsi" w:eastAsiaTheme="minorEastAsia" w:hAnsiTheme="majorHAnsi" w:cs="Arial"/>
                <w:snapToGrid w:val="0"/>
                <w:sz w:val="22"/>
                <w:szCs w:val="22"/>
              </w:rPr>
            </w:pPr>
          </w:p>
        </w:tc>
        <w:tc>
          <w:tcPr>
            <w:tcW w:w="466" w:type="pct"/>
            <w:vAlign w:val="center"/>
          </w:tcPr>
          <w:p w14:paraId="72851065"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Jul-15</w:t>
            </w:r>
          </w:p>
        </w:tc>
        <w:tc>
          <w:tcPr>
            <w:tcW w:w="466" w:type="pct"/>
            <w:vAlign w:val="center"/>
          </w:tcPr>
          <w:p w14:paraId="72851066"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Aug-15</w:t>
            </w:r>
          </w:p>
        </w:tc>
        <w:tc>
          <w:tcPr>
            <w:tcW w:w="466" w:type="pct"/>
            <w:vAlign w:val="center"/>
          </w:tcPr>
          <w:p w14:paraId="72851067"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Sep-15</w:t>
            </w:r>
          </w:p>
        </w:tc>
        <w:tc>
          <w:tcPr>
            <w:tcW w:w="466" w:type="pct"/>
            <w:shd w:val="clear" w:color="auto" w:fill="auto"/>
            <w:vAlign w:val="center"/>
          </w:tcPr>
          <w:p w14:paraId="72851068"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Oct-15</w:t>
            </w:r>
          </w:p>
        </w:tc>
        <w:tc>
          <w:tcPr>
            <w:tcW w:w="466" w:type="pct"/>
            <w:shd w:val="clear" w:color="auto" w:fill="auto"/>
            <w:vAlign w:val="center"/>
          </w:tcPr>
          <w:p w14:paraId="72851069"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Nov-15</w:t>
            </w:r>
          </w:p>
        </w:tc>
        <w:tc>
          <w:tcPr>
            <w:tcW w:w="466" w:type="pct"/>
            <w:shd w:val="clear" w:color="auto" w:fill="auto"/>
            <w:vAlign w:val="center"/>
          </w:tcPr>
          <w:p w14:paraId="7285106A"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Dec-15</w:t>
            </w:r>
          </w:p>
        </w:tc>
        <w:tc>
          <w:tcPr>
            <w:tcW w:w="466" w:type="pct"/>
            <w:vAlign w:val="center"/>
          </w:tcPr>
          <w:p w14:paraId="7285106B"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Jan-16</w:t>
            </w:r>
          </w:p>
        </w:tc>
        <w:tc>
          <w:tcPr>
            <w:tcW w:w="466" w:type="pct"/>
            <w:vAlign w:val="center"/>
          </w:tcPr>
          <w:p w14:paraId="7285106C"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Feb-16</w:t>
            </w:r>
          </w:p>
        </w:tc>
        <w:tc>
          <w:tcPr>
            <w:tcW w:w="466" w:type="pct"/>
            <w:vAlign w:val="center"/>
          </w:tcPr>
          <w:p w14:paraId="7285106D" w14:textId="77777777" w:rsidR="005B5C58" w:rsidRPr="00E541EC" w:rsidRDefault="005B5C58" w:rsidP="00DC694D">
            <w:pPr>
              <w:pStyle w:val="ExariBodyLeft11"/>
              <w:keepNext/>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Mar-16</w:t>
            </w:r>
          </w:p>
        </w:tc>
      </w:tr>
      <w:tr w:rsidR="00076137" w:rsidRPr="00E541EC" w14:paraId="72851079" w14:textId="77777777" w:rsidTr="00076137">
        <w:trPr>
          <w:trHeight w:val="510"/>
        </w:trPr>
        <w:tc>
          <w:tcPr>
            <w:tcW w:w="802" w:type="pct"/>
            <w:shd w:val="clear" w:color="auto" w:fill="auto"/>
            <w:vAlign w:val="center"/>
          </w:tcPr>
          <w:p w14:paraId="7285106F" w14:textId="77777777" w:rsidR="005B5C58" w:rsidRPr="00E541EC" w:rsidRDefault="005B5C58" w:rsidP="00DC694D">
            <w:pPr>
              <w:keepNext/>
              <w:autoSpaceDE w:val="0"/>
              <w:autoSpaceDN w:val="0"/>
              <w:adjustRightInd w:val="0"/>
              <w:rPr>
                <w:rFonts w:asciiTheme="majorHAnsi" w:eastAsiaTheme="minorEastAsia" w:hAnsiTheme="majorHAnsi" w:cs="Arial"/>
                <w:snapToGrid w:val="0"/>
                <w:lang w:val="en-US"/>
              </w:rPr>
            </w:pPr>
            <w:r w:rsidRPr="00E541EC">
              <w:rPr>
                <w:rFonts w:asciiTheme="majorHAnsi" w:eastAsiaTheme="minorEastAsia" w:hAnsiTheme="majorHAnsi" w:cs="Arial"/>
                <w:b/>
                <w:snapToGrid w:val="0"/>
                <w:lang w:val="en-US"/>
              </w:rPr>
              <w:t>Service level 1(a)</w:t>
            </w:r>
          </w:p>
        </w:tc>
        <w:tc>
          <w:tcPr>
            <w:tcW w:w="466" w:type="pct"/>
            <w:vAlign w:val="center"/>
          </w:tcPr>
          <w:p w14:paraId="72851070"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95.46%</w:t>
            </w:r>
          </w:p>
        </w:tc>
        <w:tc>
          <w:tcPr>
            <w:tcW w:w="466" w:type="pct"/>
            <w:vAlign w:val="center"/>
          </w:tcPr>
          <w:p w14:paraId="72851071"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95.45%</w:t>
            </w:r>
          </w:p>
        </w:tc>
        <w:tc>
          <w:tcPr>
            <w:tcW w:w="466" w:type="pct"/>
            <w:vAlign w:val="center"/>
          </w:tcPr>
          <w:p w14:paraId="72851072"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95.27%</w:t>
            </w:r>
          </w:p>
        </w:tc>
        <w:tc>
          <w:tcPr>
            <w:tcW w:w="466" w:type="pct"/>
            <w:shd w:val="clear" w:color="auto" w:fill="auto"/>
            <w:vAlign w:val="center"/>
          </w:tcPr>
          <w:p w14:paraId="72851073"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94.60%</w:t>
            </w:r>
          </w:p>
        </w:tc>
        <w:tc>
          <w:tcPr>
            <w:tcW w:w="466" w:type="pct"/>
            <w:shd w:val="clear" w:color="auto" w:fill="auto"/>
            <w:vAlign w:val="center"/>
          </w:tcPr>
          <w:p w14:paraId="72851074"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94.39%</w:t>
            </w:r>
          </w:p>
        </w:tc>
        <w:tc>
          <w:tcPr>
            <w:tcW w:w="466" w:type="pct"/>
            <w:shd w:val="clear" w:color="auto" w:fill="auto"/>
            <w:vAlign w:val="center"/>
          </w:tcPr>
          <w:p w14:paraId="72851075"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94.62%</w:t>
            </w:r>
          </w:p>
        </w:tc>
        <w:tc>
          <w:tcPr>
            <w:tcW w:w="466" w:type="pct"/>
            <w:vAlign w:val="center"/>
          </w:tcPr>
          <w:p w14:paraId="72851076"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95.11%</w:t>
            </w:r>
          </w:p>
        </w:tc>
        <w:tc>
          <w:tcPr>
            <w:tcW w:w="466" w:type="pct"/>
            <w:vAlign w:val="center"/>
          </w:tcPr>
          <w:p w14:paraId="72851077"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94.36%</w:t>
            </w:r>
          </w:p>
        </w:tc>
        <w:tc>
          <w:tcPr>
            <w:tcW w:w="466" w:type="pct"/>
            <w:vAlign w:val="center"/>
          </w:tcPr>
          <w:p w14:paraId="72851078"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95.16%</w:t>
            </w:r>
          </w:p>
        </w:tc>
      </w:tr>
      <w:tr w:rsidR="00076137" w:rsidRPr="00E541EC" w14:paraId="72851084" w14:textId="77777777" w:rsidTr="00076137">
        <w:trPr>
          <w:trHeight w:val="510"/>
        </w:trPr>
        <w:tc>
          <w:tcPr>
            <w:tcW w:w="802" w:type="pct"/>
            <w:shd w:val="clear" w:color="auto" w:fill="auto"/>
            <w:vAlign w:val="center"/>
          </w:tcPr>
          <w:p w14:paraId="7285107A" w14:textId="77777777" w:rsidR="005B5C58" w:rsidRPr="00E541EC" w:rsidRDefault="005B5C58" w:rsidP="00DC694D">
            <w:pPr>
              <w:keepNext/>
              <w:autoSpaceDE w:val="0"/>
              <w:autoSpaceDN w:val="0"/>
              <w:adjustRightInd w:val="0"/>
              <w:rPr>
                <w:rFonts w:asciiTheme="majorHAnsi" w:eastAsiaTheme="minorEastAsia" w:hAnsiTheme="majorHAnsi" w:cs="Arial"/>
                <w:snapToGrid w:val="0"/>
                <w:lang w:val="en-US"/>
              </w:rPr>
            </w:pPr>
            <w:r w:rsidRPr="00E541EC">
              <w:rPr>
                <w:rFonts w:asciiTheme="majorHAnsi" w:eastAsiaTheme="minorEastAsia" w:hAnsiTheme="majorHAnsi" w:cs="Arial"/>
                <w:b/>
                <w:snapToGrid w:val="0"/>
                <w:lang w:val="en-US"/>
              </w:rPr>
              <w:t>Service level 1(b)</w:t>
            </w:r>
          </w:p>
        </w:tc>
        <w:tc>
          <w:tcPr>
            <w:tcW w:w="466" w:type="pct"/>
            <w:vAlign w:val="center"/>
          </w:tcPr>
          <w:p w14:paraId="7285107B"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96.09%</w:t>
            </w:r>
          </w:p>
        </w:tc>
        <w:tc>
          <w:tcPr>
            <w:tcW w:w="466" w:type="pct"/>
            <w:vAlign w:val="center"/>
          </w:tcPr>
          <w:p w14:paraId="7285107C"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96.02%</w:t>
            </w:r>
          </w:p>
        </w:tc>
        <w:tc>
          <w:tcPr>
            <w:tcW w:w="466" w:type="pct"/>
            <w:vAlign w:val="center"/>
          </w:tcPr>
          <w:p w14:paraId="7285107D"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95.89%</w:t>
            </w:r>
          </w:p>
        </w:tc>
        <w:tc>
          <w:tcPr>
            <w:tcW w:w="466" w:type="pct"/>
            <w:shd w:val="clear" w:color="auto" w:fill="auto"/>
            <w:vAlign w:val="center"/>
          </w:tcPr>
          <w:p w14:paraId="7285107E"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95.22%</w:t>
            </w:r>
          </w:p>
        </w:tc>
        <w:tc>
          <w:tcPr>
            <w:tcW w:w="466" w:type="pct"/>
            <w:shd w:val="clear" w:color="auto" w:fill="auto"/>
            <w:vAlign w:val="center"/>
          </w:tcPr>
          <w:p w14:paraId="7285107F"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95.11%</w:t>
            </w:r>
          </w:p>
        </w:tc>
        <w:tc>
          <w:tcPr>
            <w:tcW w:w="466" w:type="pct"/>
            <w:shd w:val="clear" w:color="auto" w:fill="auto"/>
            <w:vAlign w:val="center"/>
          </w:tcPr>
          <w:p w14:paraId="72851080"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95.47%</w:t>
            </w:r>
          </w:p>
        </w:tc>
        <w:tc>
          <w:tcPr>
            <w:tcW w:w="466" w:type="pct"/>
            <w:vAlign w:val="center"/>
          </w:tcPr>
          <w:p w14:paraId="72851081"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95.90%</w:t>
            </w:r>
          </w:p>
        </w:tc>
        <w:tc>
          <w:tcPr>
            <w:tcW w:w="466" w:type="pct"/>
            <w:vAlign w:val="center"/>
          </w:tcPr>
          <w:p w14:paraId="72851082"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95.20%</w:t>
            </w:r>
          </w:p>
        </w:tc>
        <w:tc>
          <w:tcPr>
            <w:tcW w:w="466" w:type="pct"/>
            <w:vAlign w:val="center"/>
          </w:tcPr>
          <w:p w14:paraId="72851083"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95.82%</w:t>
            </w:r>
          </w:p>
        </w:tc>
      </w:tr>
      <w:tr w:rsidR="00076137" w:rsidRPr="00E541EC" w14:paraId="7285108F" w14:textId="77777777" w:rsidTr="00076137">
        <w:trPr>
          <w:trHeight w:val="510"/>
        </w:trPr>
        <w:tc>
          <w:tcPr>
            <w:tcW w:w="802" w:type="pct"/>
            <w:shd w:val="clear" w:color="auto" w:fill="auto"/>
            <w:vAlign w:val="center"/>
          </w:tcPr>
          <w:p w14:paraId="72851085" w14:textId="77777777" w:rsidR="005B5C58" w:rsidRPr="00E541EC" w:rsidRDefault="005B5C58" w:rsidP="00DC694D">
            <w:pPr>
              <w:keepNext/>
              <w:autoSpaceDE w:val="0"/>
              <w:autoSpaceDN w:val="0"/>
              <w:adjustRightInd w:val="0"/>
              <w:rPr>
                <w:rFonts w:asciiTheme="majorHAnsi" w:eastAsiaTheme="minorEastAsia" w:hAnsiTheme="majorHAnsi" w:cs="Arial"/>
                <w:snapToGrid w:val="0"/>
                <w:lang w:val="en-US"/>
              </w:rPr>
            </w:pPr>
            <w:r w:rsidRPr="00E541EC">
              <w:rPr>
                <w:rFonts w:asciiTheme="majorHAnsi" w:eastAsiaTheme="minorEastAsia" w:hAnsiTheme="majorHAnsi" w:cs="Arial"/>
                <w:b/>
                <w:snapToGrid w:val="0"/>
                <w:lang w:val="en-US"/>
              </w:rPr>
              <w:t>Service level 2</w:t>
            </w:r>
          </w:p>
        </w:tc>
        <w:tc>
          <w:tcPr>
            <w:tcW w:w="466" w:type="pct"/>
            <w:vAlign w:val="center"/>
          </w:tcPr>
          <w:p w14:paraId="72851086"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0.78%</w:t>
            </w:r>
          </w:p>
        </w:tc>
        <w:tc>
          <w:tcPr>
            <w:tcW w:w="466" w:type="pct"/>
            <w:vAlign w:val="center"/>
          </w:tcPr>
          <w:p w14:paraId="72851087"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0.75%</w:t>
            </w:r>
          </w:p>
        </w:tc>
        <w:tc>
          <w:tcPr>
            <w:tcW w:w="466" w:type="pct"/>
            <w:vAlign w:val="center"/>
          </w:tcPr>
          <w:p w14:paraId="72851088"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0.69%</w:t>
            </w:r>
          </w:p>
        </w:tc>
        <w:tc>
          <w:tcPr>
            <w:tcW w:w="466" w:type="pct"/>
            <w:shd w:val="clear" w:color="auto" w:fill="auto"/>
            <w:vAlign w:val="center"/>
          </w:tcPr>
          <w:p w14:paraId="72851089"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0.88%</w:t>
            </w:r>
          </w:p>
        </w:tc>
        <w:tc>
          <w:tcPr>
            <w:tcW w:w="466" w:type="pct"/>
            <w:shd w:val="clear" w:color="auto" w:fill="auto"/>
            <w:vAlign w:val="center"/>
          </w:tcPr>
          <w:p w14:paraId="7285108A"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0.98%</w:t>
            </w:r>
          </w:p>
        </w:tc>
        <w:tc>
          <w:tcPr>
            <w:tcW w:w="466" w:type="pct"/>
            <w:shd w:val="clear" w:color="auto" w:fill="auto"/>
            <w:vAlign w:val="center"/>
          </w:tcPr>
          <w:p w14:paraId="7285108B"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0.79%</w:t>
            </w:r>
          </w:p>
        </w:tc>
        <w:tc>
          <w:tcPr>
            <w:tcW w:w="466" w:type="pct"/>
            <w:vAlign w:val="center"/>
          </w:tcPr>
          <w:p w14:paraId="7285108C"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0.54%</w:t>
            </w:r>
          </w:p>
        </w:tc>
        <w:tc>
          <w:tcPr>
            <w:tcW w:w="466" w:type="pct"/>
            <w:vAlign w:val="center"/>
          </w:tcPr>
          <w:p w14:paraId="7285108D"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0.37%</w:t>
            </w:r>
          </w:p>
        </w:tc>
        <w:tc>
          <w:tcPr>
            <w:tcW w:w="466" w:type="pct"/>
            <w:vAlign w:val="center"/>
          </w:tcPr>
          <w:p w14:paraId="7285108E"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0.64%</w:t>
            </w:r>
          </w:p>
        </w:tc>
      </w:tr>
      <w:tr w:rsidR="00076137" w:rsidRPr="00E541EC" w14:paraId="7285109A" w14:textId="77777777" w:rsidTr="00076137">
        <w:trPr>
          <w:trHeight w:val="510"/>
        </w:trPr>
        <w:tc>
          <w:tcPr>
            <w:tcW w:w="802" w:type="pct"/>
            <w:shd w:val="clear" w:color="auto" w:fill="auto"/>
            <w:vAlign w:val="center"/>
          </w:tcPr>
          <w:p w14:paraId="72851090" w14:textId="77777777" w:rsidR="005B5C58" w:rsidRPr="00E541EC" w:rsidRDefault="005B5C58" w:rsidP="00DC694D">
            <w:pPr>
              <w:keepNext/>
              <w:autoSpaceDE w:val="0"/>
              <w:autoSpaceDN w:val="0"/>
              <w:adjustRightInd w:val="0"/>
              <w:rPr>
                <w:rFonts w:asciiTheme="majorHAnsi" w:eastAsiaTheme="minorEastAsia" w:hAnsiTheme="majorHAnsi" w:cs="Arial"/>
                <w:snapToGrid w:val="0"/>
                <w:u w:val="single"/>
                <w:lang w:val="en-US"/>
              </w:rPr>
            </w:pPr>
            <w:r w:rsidRPr="00E541EC">
              <w:rPr>
                <w:rFonts w:asciiTheme="majorHAnsi" w:eastAsiaTheme="minorEastAsia" w:hAnsiTheme="majorHAnsi" w:cs="Arial"/>
                <w:b/>
                <w:snapToGrid w:val="0"/>
                <w:lang w:val="en-US"/>
              </w:rPr>
              <w:t>Service level 3</w:t>
            </w:r>
          </w:p>
        </w:tc>
        <w:tc>
          <w:tcPr>
            <w:tcW w:w="466" w:type="pct"/>
            <w:vAlign w:val="center"/>
          </w:tcPr>
          <w:p w14:paraId="72851091"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97.28%</w:t>
            </w:r>
          </w:p>
        </w:tc>
        <w:tc>
          <w:tcPr>
            <w:tcW w:w="466" w:type="pct"/>
            <w:vAlign w:val="center"/>
          </w:tcPr>
          <w:p w14:paraId="72851092"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97.73%</w:t>
            </w:r>
          </w:p>
        </w:tc>
        <w:tc>
          <w:tcPr>
            <w:tcW w:w="466" w:type="pct"/>
            <w:vAlign w:val="center"/>
          </w:tcPr>
          <w:p w14:paraId="72851093"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97.67%</w:t>
            </w:r>
          </w:p>
        </w:tc>
        <w:tc>
          <w:tcPr>
            <w:tcW w:w="466" w:type="pct"/>
            <w:shd w:val="clear" w:color="auto" w:fill="auto"/>
            <w:vAlign w:val="center"/>
          </w:tcPr>
          <w:p w14:paraId="72851094"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97.98%</w:t>
            </w:r>
          </w:p>
        </w:tc>
        <w:tc>
          <w:tcPr>
            <w:tcW w:w="466" w:type="pct"/>
            <w:shd w:val="clear" w:color="auto" w:fill="auto"/>
            <w:vAlign w:val="center"/>
          </w:tcPr>
          <w:p w14:paraId="72851095"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97.57%</w:t>
            </w:r>
          </w:p>
        </w:tc>
        <w:tc>
          <w:tcPr>
            <w:tcW w:w="466" w:type="pct"/>
            <w:shd w:val="clear" w:color="auto" w:fill="auto"/>
            <w:vAlign w:val="center"/>
          </w:tcPr>
          <w:p w14:paraId="72851096"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97.72%</w:t>
            </w:r>
          </w:p>
        </w:tc>
        <w:tc>
          <w:tcPr>
            <w:tcW w:w="466" w:type="pct"/>
            <w:shd w:val="clear" w:color="auto" w:fill="auto"/>
            <w:vAlign w:val="center"/>
          </w:tcPr>
          <w:p w14:paraId="72851097"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97.55%</w:t>
            </w:r>
          </w:p>
        </w:tc>
        <w:tc>
          <w:tcPr>
            <w:tcW w:w="466" w:type="pct"/>
            <w:shd w:val="clear" w:color="auto" w:fill="auto"/>
            <w:vAlign w:val="center"/>
          </w:tcPr>
          <w:p w14:paraId="72851098"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97.01%</w:t>
            </w:r>
          </w:p>
        </w:tc>
        <w:tc>
          <w:tcPr>
            <w:tcW w:w="466" w:type="pct"/>
            <w:shd w:val="clear" w:color="auto" w:fill="auto"/>
            <w:vAlign w:val="center"/>
          </w:tcPr>
          <w:p w14:paraId="72851099" w14:textId="77777777" w:rsidR="005B5C58" w:rsidRPr="00E541EC" w:rsidRDefault="005B5C58" w:rsidP="00DC694D">
            <w:pPr>
              <w:keepNext/>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96.80%</w:t>
            </w:r>
          </w:p>
        </w:tc>
      </w:tr>
    </w:tbl>
    <w:p w14:paraId="7285109B" w14:textId="77777777" w:rsidR="006B3774" w:rsidRDefault="006B3774" w:rsidP="006B3774">
      <w:pPr>
        <w:rPr>
          <w:rFonts w:asciiTheme="majorHAnsi" w:hAnsiTheme="majorHAnsi"/>
        </w:rPr>
      </w:pPr>
    </w:p>
    <w:p w14:paraId="7285109C" w14:textId="4E05525F" w:rsidR="005B5C58" w:rsidRPr="006B3774" w:rsidRDefault="005B5C58" w:rsidP="006B3774">
      <w:pPr>
        <w:rPr>
          <w:rFonts w:asciiTheme="majorHAnsi" w:hAnsiTheme="majorHAnsi"/>
        </w:rPr>
      </w:pPr>
      <w:r w:rsidRPr="006B3774">
        <w:rPr>
          <w:rFonts w:asciiTheme="majorHAnsi" w:hAnsiTheme="majorHAnsi"/>
        </w:rPr>
        <w:t xml:space="preserve">The relay service provider fully met all service levels in Quarter 3, </w:t>
      </w:r>
      <w:r w:rsidR="0030427B">
        <w:rPr>
          <w:rFonts w:asciiTheme="majorHAnsi" w:hAnsiTheme="majorHAnsi"/>
        </w:rPr>
        <w:t>2015–16</w:t>
      </w:r>
      <w:r w:rsidRPr="006B3774">
        <w:rPr>
          <w:rFonts w:asciiTheme="majorHAnsi" w:hAnsiTheme="majorHAnsi"/>
        </w:rPr>
        <w:t>. The Department considers the performance of the relay service provider to be consistent with its obligations i</w:t>
      </w:r>
      <w:r w:rsidR="0030427B">
        <w:rPr>
          <w:rFonts w:asciiTheme="majorHAnsi" w:hAnsiTheme="majorHAnsi"/>
        </w:rPr>
        <w:t>n the Relay Services Agreement.</w:t>
      </w:r>
    </w:p>
    <w:p w14:paraId="7285109E" w14:textId="77777777" w:rsidR="005B5C58" w:rsidRPr="003D09F1" w:rsidRDefault="005B5C58" w:rsidP="00401079">
      <w:pPr>
        <w:pStyle w:val="Heading2"/>
        <w:pageBreakBefore/>
      </w:pPr>
      <w:r w:rsidRPr="003D09F1">
        <w:t>Service level performance: outreach service provider</w:t>
      </w:r>
    </w:p>
    <w:p w14:paraId="7285109F" w14:textId="57EC99DC" w:rsidR="005B5C58" w:rsidRPr="00E541EC" w:rsidRDefault="005B5C58" w:rsidP="00E541EC">
      <w:r w:rsidRPr="00E541EC">
        <w:t xml:space="preserve">The outreach service provider’s performance in </w:t>
      </w:r>
      <w:r w:rsidR="0030427B">
        <w:t>2015–16</w:t>
      </w:r>
      <w:r w:rsidRPr="00E541EC">
        <w:t xml:space="preserve"> is measured monthly against the following service levels:</w:t>
      </w:r>
    </w:p>
    <w:p w14:paraId="728510A0" w14:textId="7F9B1EDD" w:rsidR="005B5C58" w:rsidRPr="00E541EC" w:rsidRDefault="005B5C58" w:rsidP="00E541EC">
      <w:pPr>
        <w:pStyle w:val="Bulletlevel1"/>
      </w:pPr>
      <w:r w:rsidRPr="00076137">
        <w:rPr>
          <w:b/>
        </w:rPr>
        <w:t>Service level 1:</w:t>
      </w:r>
      <w:r w:rsidRPr="00E541EC">
        <w:t xml:space="preserve"> the service contractor personnel must answer greater than 85 per cent of all telephone calls from help desk users during the hours of operation of the Help Desk within 90 seconds.</w:t>
      </w:r>
      <w:r w:rsidR="0030427B">
        <w:t xml:space="preserve"> </w:t>
      </w:r>
      <w:r w:rsidRPr="00E541EC">
        <w:t>Any call other than a call that is ended by the user hanging up within 5 seconds from the first ring tone of the call is included in measurement of compliance with this Service Level;</w:t>
      </w:r>
    </w:p>
    <w:p w14:paraId="728510A1" w14:textId="77777777" w:rsidR="005B5C58" w:rsidRPr="00E541EC" w:rsidRDefault="005B5C58" w:rsidP="00E541EC">
      <w:pPr>
        <w:pStyle w:val="Bulletlevel1"/>
      </w:pPr>
      <w:r w:rsidRPr="00076137">
        <w:rPr>
          <w:b/>
        </w:rPr>
        <w:t>Service level 2:</w:t>
      </w:r>
      <w:r w:rsidRPr="00E541EC">
        <w:t xml:space="preserve"> the service contractor personnel must acknowledge greater than 85 per cent of all enquiries received through public NRS email addresses or forms from the NRS website or from helpdesk users within 4 hours where the enquiry is received before 2 pm (AEST) on a business day or otherwise by 12 noon (AEST) on the next business day;</w:t>
      </w:r>
    </w:p>
    <w:p w14:paraId="728510A2" w14:textId="77777777" w:rsidR="005B5C58" w:rsidRPr="00E541EC" w:rsidRDefault="005B5C58" w:rsidP="00E541EC">
      <w:pPr>
        <w:pStyle w:val="Bulletlevel1"/>
      </w:pPr>
      <w:r w:rsidRPr="00076137">
        <w:rPr>
          <w:b/>
        </w:rPr>
        <w:t>Service level 3:</w:t>
      </w:r>
      <w:r w:rsidRPr="00E541EC">
        <w:t xml:space="preserve"> the service contractor personnel must resolve greater than 85 per cent of all enquiries received from helpdesk users by telephone (that are not able to be resolved while on the call), website or email, that it is able to resolve without input from the Commonwealth or the relay service provider or a third party within 2 business days; and </w:t>
      </w:r>
    </w:p>
    <w:p w14:paraId="728510A3" w14:textId="77777777" w:rsidR="005B5C58" w:rsidRPr="00E541EC" w:rsidRDefault="005B5C58" w:rsidP="00E541EC">
      <w:pPr>
        <w:pStyle w:val="Bulletlevel1"/>
      </w:pPr>
      <w:r w:rsidRPr="00076137">
        <w:rPr>
          <w:b/>
        </w:rPr>
        <w:t>Service level 4:</w:t>
      </w:r>
      <w:r w:rsidRPr="00E541EC">
        <w:t xml:space="preserve"> the service contractor personnel must resolve greater than 85 per cent of all complaints received during the month within the timeframes required under the agreement (including the complaint handling policy) for the type of complaint.</w:t>
      </w:r>
    </w:p>
    <w:p w14:paraId="728510A4" w14:textId="77777777" w:rsidR="005B5C58" w:rsidRPr="00E541EC" w:rsidRDefault="005B5C58" w:rsidP="00E541EC">
      <w:pPr>
        <w:rPr>
          <w:szCs w:val="24"/>
        </w:rPr>
      </w:pPr>
      <w:r w:rsidRPr="00E541EC">
        <w:rPr>
          <w:szCs w:val="24"/>
        </w:rPr>
        <w:t xml:space="preserve">The outreach service provider’s performance against these service levels is outlined in </w:t>
      </w:r>
      <w:r w:rsidR="00333144">
        <w:rPr>
          <w:szCs w:val="24"/>
        </w:rPr>
        <w:t>T</w:t>
      </w:r>
      <w:r w:rsidRPr="00E541EC">
        <w:rPr>
          <w:szCs w:val="24"/>
        </w:rPr>
        <w:t xml:space="preserve">able </w:t>
      </w:r>
      <w:r w:rsidR="00333144">
        <w:rPr>
          <w:szCs w:val="24"/>
        </w:rPr>
        <w:t xml:space="preserve">3 </w:t>
      </w:r>
      <w:r w:rsidRPr="00E541EC">
        <w:rPr>
          <w:szCs w:val="24"/>
        </w:rPr>
        <w:t>below:</w:t>
      </w:r>
    </w:p>
    <w:p w14:paraId="728510A5" w14:textId="77777777" w:rsidR="005B5C58" w:rsidRPr="00A0108A" w:rsidRDefault="00333144" w:rsidP="00E541EC">
      <w:pPr>
        <w:pStyle w:val="Tablefigureheading"/>
      </w:pPr>
      <w:r>
        <w:t xml:space="preserve">Table 3. </w:t>
      </w:r>
      <w:r w:rsidR="005B5C58" w:rsidRPr="00A0108A">
        <w:t>Service level performance: outreach service provider</w:t>
      </w:r>
    </w:p>
    <w:tbl>
      <w:tblPr>
        <w:tblW w:w="9072" w:type="dxa"/>
        <w:tblBorders>
          <w:bottom w:val="single" w:sz="4" w:space="0" w:color="auto"/>
          <w:insideH w:val="single" w:sz="4" w:space="0" w:color="auto"/>
        </w:tblBorders>
        <w:tblLayout w:type="fixed"/>
        <w:tblCellMar>
          <w:top w:w="85" w:type="dxa"/>
          <w:left w:w="0" w:type="dxa"/>
          <w:bottom w:w="85" w:type="dxa"/>
          <w:right w:w="0" w:type="dxa"/>
        </w:tblCellMar>
        <w:tblLook w:val="0000" w:firstRow="0" w:lastRow="0" w:firstColumn="0" w:lastColumn="0" w:noHBand="0" w:noVBand="0"/>
      </w:tblPr>
      <w:tblGrid>
        <w:gridCol w:w="1705"/>
        <w:gridCol w:w="819"/>
        <w:gridCol w:w="819"/>
        <w:gridCol w:w="819"/>
        <w:gridCol w:w="819"/>
        <w:gridCol w:w="819"/>
        <w:gridCol w:w="818"/>
        <w:gridCol w:w="818"/>
        <w:gridCol w:w="818"/>
        <w:gridCol w:w="818"/>
      </w:tblGrid>
      <w:tr w:rsidR="00E541EC" w:rsidRPr="00E541EC" w14:paraId="728510B0" w14:textId="77777777" w:rsidTr="00E541EC">
        <w:trPr>
          <w:trHeight w:val="510"/>
        </w:trPr>
        <w:tc>
          <w:tcPr>
            <w:tcW w:w="939" w:type="pct"/>
            <w:shd w:val="clear" w:color="auto" w:fill="auto"/>
            <w:vAlign w:val="center"/>
          </w:tcPr>
          <w:p w14:paraId="728510A6" w14:textId="77777777" w:rsidR="005B5C58" w:rsidRPr="00E541EC" w:rsidRDefault="005B5C58" w:rsidP="00DC694D">
            <w:pPr>
              <w:pStyle w:val="ExariBodyLeft11"/>
              <w:spacing w:before="0" w:after="0"/>
              <w:rPr>
                <w:rFonts w:asciiTheme="majorHAnsi" w:eastAsiaTheme="minorEastAsia" w:hAnsiTheme="majorHAnsi" w:cs="Arial"/>
                <w:b/>
                <w:snapToGrid w:val="0"/>
                <w:sz w:val="22"/>
                <w:szCs w:val="22"/>
              </w:rPr>
            </w:pPr>
          </w:p>
        </w:tc>
        <w:tc>
          <w:tcPr>
            <w:tcW w:w="451" w:type="pct"/>
            <w:vAlign w:val="center"/>
          </w:tcPr>
          <w:p w14:paraId="728510A7"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Jul-15</w:t>
            </w:r>
          </w:p>
        </w:tc>
        <w:tc>
          <w:tcPr>
            <w:tcW w:w="451" w:type="pct"/>
            <w:vAlign w:val="center"/>
          </w:tcPr>
          <w:p w14:paraId="728510A8"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Aug-15</w:t>
            </w:r>
          </w:p>
        </w:tc>
        <w:tc>
          <w:tcPr>
            <w:tcW w:w="451" w:type="pct"/>
            <w:vAlign w:val="center"/>
          </w:tcPr>
          <w:p w14:paraId="728510A9"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Sep-15</w:t>
            </w:r>
          </w:p>
        </w:tc>
        <w:tc>
          <w:tcPr>
            <w:tcW w:w="451" w:type="pct"/>
            <w:shd w:val="clear" w:color="auto" w:fill="auto"/>
            <w:vAlign w:val="center"/>
          </w:tcPr>
          <w:p w14:paraId="728510AA"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Oct-15</w:t>
            </w:r>
          </w:p>
        </w:tc>
        <w:tc>
          <w:tcPr>
            <w:tcW w:w="451" w:type="pct"/>
            <w:shd w:val="clear" w:color="auto" w:fill="auto"/>
            <w:vAlign w:val="center"/>
          </w:tcPr>
          <w:p w14:paraId="728510AB"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Nov-15</w:t>
            </w:r>
          </w:p>
        </w:tc>
        <w:tc>
          <w:tcPr>
            <w:tcW w:w="451" w:type="pct"/>
            <w:shd w:val="clear" w:color="auto" w:fill="auto"/>
            <w:vAlign w:val="center"/>
          </w:tcPr>
          <w:p w14:paraId="728510AC"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Dec-15</w:t>
            </w:r>
          </w:p>
        </w:tc>
        <w:tc>
          <w:tcPr>
            <w:tcW w:w="451" w:type="pct"/>
            <w:vAlign w:val="center"/>
          </w:tcPr>
          <w:p w14:paraId="728510AD"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Jan-16</w:t>
            </w:r>
          </w:p>
        </w:tc>
        <w:tc>
          <w:tcPr>
            <w:tcW w:w="451" w:type="pct"/>
            <w:vAlign w:val="center"/>
          </w:tcPr>
          <w:p w14:paraId="728510AE"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Feb-16</w:t>
            </w:r>
          </w:p>
        </w:tc>
        <w:tc>
          <w:tcPr>
            <w:tcW w:w="451" w:type="pct"/>
            <w:vAlign w:val="center"/>
          </w:tcPr>
          <w:p w14:paraId="728510AF" w14:textId="77777777" w:rsidR="005B5C58" w:rsidRPr="00E541EC" w:rsidRDefault="005B5C58" w:rsidP="00DC694D">
            <w:pPr>
              <w:pStyle w:val="ExariBodyLeft11"/>
              <w:spacing w:before="0" w:after="0"/>
              <w:jc w:val="center"/>
              <w:rPr>
                <w:rStyle w:val="Bold"/>
                <w:rFonts w:asciiTheme="majorHAnsi" w:eastAsiaTheme="minorEastAsia" w:hAnsiTheme="majorHAnsi" w:cs="Arial"/>
                <w:sz w:val="22"/>
                <w:szCs w:val="22"/>
              </w:rPr>
            </w:pPr>
            <w:r w:rsidRPr="00E541EC">
              <w:rPr>
                <w:rStyle w:val="Bold"/>
                <w:rFonts w:asciiTheme="majorHAnsi" w:eastAsiaTheme="minorEastAsia" w:hAnsiTheme="majorHAnsi" w:cs="Arial"/>
                <w:sz w:val="22"/>
                <w:szCs w:val="22"/>
              </w:rPr>
              <w:t>Mar-16</w:t>
            </w:r>
          </w:p>
        </w:tc>
      </w:tr>
      <w:tr w:rsidR="00E541EC" w:rsidRPr="00E541EC" w14:paraId="728510BB" w14:textId="77777777" w:rsidTr="00E541EC">
        <w:trPr>
          <w:trHeight w:val="510"/>
        </w:trPr>
        <w:tc>
          <w:tcPr>
            <w:tcW w:w="939" w:type="pct"/>
            <w:shd w:val="clear" w:color="auto" w:fill="auto"/>
            <w:vAlign w:val="center"/>
          </w:tcPr>
          <w:p w14:paraId="728510B1" w14:textId="77777777" w:rsidR="005B5C58" w:rsidRPr="00E541EC" w:rsidRDefault="005B5C58" w:rsidP="00DC694D">
            <w:pPr>
              <w:widowControl w:val="0"/>
              <w:autoSpaceDE w:val="0"/>
              <w:autoSpaceDN w:val="0"/>
              <w:adjustRightInd w:val="0"/>
              <w:rPr>
                <w:rFonts w:asciiTheme="majorHAnsi" w:hAnsiTheme="majorHAnsi" w:cs="Arial"/>
                <w:b/>
              </w:rPr>
            </w:pPr>
            <w:r w:rsidRPr="00E541EC">
              <w:rPr>
                <w:rFonts w:asciiTheme="majorHAnsi" w:eastAsiaTheme="minorEastAsia" w:hAnsiTheme="majorHAnsi" w:cs="Arial"/>
                <w:b/>
                <w:snapToGrid w:val="0"/>
                <w:lang w:val="en-US"/>
              </w:rPr>
              <w:t>Service level 1</w:t>
            </w:r>
          </w:p>
        </w:tc>
        <w:tc>
          <w:tcPr>
            <w:tcW w:w="451" w:type="pct"/>
            <w:vAlign w:val="center"/>
          </w:tcPr>
          <w:p w14:paraId="728510B2"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99.96%</w:t>
            </w:r>
          </w:p>
        </w:tc>
        <w:tc>
          <w:tcPr>
            <w:tcW w:w="451" w:type="pct"/>
            <w:vAlign w:val="center"/>
          </w:tcPr>
          <w:p w14:paraId="728510B3"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99.46%</w:t>
            </w:r>
          </w:p>
        </w:tc>
        <w:tc>
          <w:tcPr>
            <w:tcW w:w="451" w:type="pct"/>
            <w:vAlign w:val="center"/>
          </w:tcPr>
          <w:p w14:paraId="728510B4"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99.56%</w:t>
            </w:r>
          </w:p>
        </w:tc>
        <w:tc>
          <w:tcPr>
            <w:tcW w:w="451" w:type="pct"/>
            <w:shd w:val="clear" w:color="auto" w:fill="auto"/>
            <w:vAlign w:val="center"/>
          </w:tcPr>
          <w:p w14:paraId="728510B5"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shd w:val="clear" w:color="auto" w:fill="auto"/>
            <w:vAlign w:val="center"/>
          </w:tcPr>
          <w:p w14:paraId="728510B6"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N/A</w:t>
            </w:r>
            <w:r w:rsidRPr="00E541EC">
              <w:rPr>
                <w:rStyle w:val="FootnoteReference"/>
                <w:rFonts w:asciiTheme="majorHAnsi" w:eastAsiaTheme="minorEastAsia" w:hAnsiTheme="majorHAnsi" w:cs="Arial"/>
                <w:snapToGrid w:val="0"/>
                <w:lang w:val="en-US"/>
              </w:rPr>
              <w:footnoteReference w:id="1"/>
            </w:r>
          </w:p>
        </w:tc>
        <w:tc>
          <w:tcPr>
            <w:tcW w:w="451" w:type="pct"/>
            <w:shd w:val="clear" w:color="auto" w:fill="auto"/>
            <w:vAlign w:val="center"/>
          </w:tcPr>
          <w:p w14:paraId="728510B7"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vAlign w:val="center"/>
          </w:tcPr>
          <w:p w14:paraId="728510B8"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98.10%</w:t>
            </w:r>
          </w:p>
        </w:tc>
        <w:tc>
          <w:tcPr>
            <w:tcW w:w="451" w:type="pct"/>
            <w:vAlign w:val="center"/>
          </w:tcPr>
          <w:p w14:paraId="728510B9"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99.19%</w:t>
            </w:r>
          </w:p>
        </w:tc>
        <w:tc>
          <w:tcPr>
            <w:tcW w:w="451" w:type="pct"/>
            <w:vAlign w:val="center"/>
          </w:tcPr>
          <w:p w14:paraId="728510BA"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99.41%</w:t>
            </w:r>
          </w:p>
        </w:tc>
      </w:tr>
      <w:tr w:rsidR="00E541EC" w:rsidRPr="00E541EC" w14:paraId="728510C6" w14:textId="77777777" w:rsidTr="00E541EC">
        <w:trPr>
          <w:trHeight w:val="510"/>
        </w:trPr>
        <w:tc>
          <w:tcPr>
            <w:tcW w:w="939" w:type="pct"/>
            <w:shd w:val="clear" w:color="auto" w:fill="auto"/>
            <w:vAlign w:val="center"/>
          </w:tcPr>
          <w:p w14:paraId="728510BC" w14:textId="77777777" w:rsidR="005B5C58" w:rsidRPr="00E541EC" w:rsidRDefault="005B5C58" w:rsidP="00DC694D">
            <w:pPr>
              <w:pStyle w:val="Heading3"/>
              <w:keepNext w:val="0"/>
              <w:spacing w:before="0"/>
              <w:rPr>
                <w:rFonts w:cs="Arial"/>
                <w:b w:val="0"/>
                <w:snapToGrid w:val="0"/>
                <w:color w:val="auto"/>
                <w:sz w:val="22"/>
                <w:szCs w:val="22"/>
                <w:lang w:val="en-US"/>
              </w:rPr>
            </w:pPr>
            <w:r w:rsidRPr="00E541EC">
              <w:rPr>
                <w:rFonts w:cs="Arial"/>
                <w:color w:val="auto"/>
                <w:sz w:val="22"/>
                <w:szCs w:val="22"/>
              </w:rPr>
              <w:t>Service level 2</w:t>
            </w:r>
          </w:p>
        </w:tc>
        <w:tc>
          <w:tcPr>
            <w:tcW w:w="451" w:type="pct"/>
            <w:vAlign w:val="center"/>
          </w:tcPr>
          <w:p w14:paraId="728510BD"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vAlign w:val="center"/>
          </w:tcPr>
          <w:p w14:paraId="728510BE"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vAlign w:val="center"/>
          </w:tcPr>
          <w:p w14:paraId="728510BF"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shd w:val="clear" w:color="auto" w:fill="auto"/>
            <w:vAlign w:val="center"/>
          </w:tcPr>
          <w:p w14:paraId="728510C0"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shd w:val="clear" w:color="auto" w:fill="auto"/>
            <w:vAlign w:val="center"/>
          </w:tcPr>
          <w:p w14:paraId="728510C1"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shd w:val="clear" w:color="auto" w:fill="auto"/>
            <w:vAlign w:val="center"/>
          </w:tcPr>
          <w:p w14:paraId="728510C2"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vAlign w:val="center"/>
          </w:tcPr>
          <w:p w14:paraId="728510C3"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99.37%</w:t>
            </w:r>
          </w:p>
        </w:tc>
        <w:tc>
          <w:tcPr>
            <w:tcW w:w="451" w:type="pct"/>
            <w:vAlign w:val="center"/>
          </w:tcPr>
          <w:p w14:paraId="728510C4"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99.36%</w:t>
            </w:r>
          </w:p>
        </w:tc>
        <w:tc>
          <w:tcPr>
            <w:tcW w:w="451" w:type="pct"/>
            <w:vAlign w:val="center"/>
          </w:tcPr>
          <w:p w14:paraId="728510C5"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r>
      <w:tr w:rsidR="00E541EC" w:rsidRPr="00E541EC" w14:paraId="728510D1" w14:textId="77777777" w:rsidTr="00E541EC">
        <w:trPr>
          <w:trHeight w:val="510"/>
        </w:trPr>
        <w:tc>
          <w:tcPr>
            <w:tcW w:w="939" w:type="pct"/>
            <w:shd w:val="clear" w:color="auto" w:fill="auto"/>
            <w:vAlign w:val="center"/>
          </w:tcPr>
          <w:p w14:paraId="728510C7" w14:textId="77777777" w:rsidR="005B5C58" w:rsidRPr="00E541EC" w:rsidRDefault="005B5C58" w:rsidP="00DC694D">
            <w:pPr>
              <w:pStyle w:val="Heading3"/>
              <w:keepNext w:val="0"/>
              <w:spacing w:before="0"/>
              <w:rPr>
                <w:rFonts w:cs="Arial"/>
                <w:b w:val="0"/>
                <w:color w:val="auto"/>
                <w:sz w:val="22"/>
                <w:szCs w:val="22"/>
              </w:rPr>
            </w:pPr>
            <w:r w:rsidRPr="00E541EC">
              <w:rPr>
                <w:rFonts w:cs="Arial"/>
                <w:color w:val="auto"/>
                <w:sz w:val="22"/>
                <w:szCs w:val="22"/>
              </w:rPr>
              <w:t>Service level 3</w:t>
            </w:r>
          </w:p>
        </w:tc>
        <w:tc>
          <w:tcPr>
            <w:tcW w:w="451" w:type="pct"/>
            <w:vAlign w:val="center"/>
          </w:tcPr>
          <w:p w14:paraId="728510C8"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99.55%</w:t>
            </w:r>
          </w:p>
        </w:tc>
        <w:tc>
          <w:tcPr>
            <w:tcW w:w="451" w:type="pct"/>
            <w:vAlign w:val="center"/>
          </w:tcPr>
          <w:p w14:paraId="728510C9"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99.55%</w:t>
            </w:r>
          </w:p>
        </w:tc>
        <w:tc>
          <w:tcPr>
            <w:tcW w:w="451" w:type="pct"/>
            <w:vAlign w:val="center"/>
          </w:tcPr>
          <w:p w14:paraId="728510CA"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98.46%</w:t>
            </w:r>
          </w:p>
        </w:tc>
        <w:tc>
          <w:tcPr>
            <w:tcW w:w="451" w:type="pct"/>
            <w:shd w:val="clear" w:color="auto" w:fill="auto"/>
            <w:vAlign w:val="center"/>
          </w:tcPr>
          <w:p w14:paraId="728510CB"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shd w:val="clear" w:color="auto" w:fill="auto"/>
            <w:vAlign w:val="center"/>
          </w:tcPr>
          <w:p w14:paraId="728510CC"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shd w:val="clear" w:color="auto" w:fill="auto"/>
            <w:vAlign w:val="center"/>
          </w:tcPr>
          <w:p w14:paraId="728510CD"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99.99%</w:t>
            </w:r>
          </w:p>
        </w:tc>
        <w:tc>
          <w:tcPr>
            <w:tcW w:w="451" w:type="pct"/>
            <w:vAlign w:val="center"/>
          </w:tcPr>
          <w:p w14:paraId="728510CE"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98.99%</w:t>
            </w:r>
          </w:p>
        </w:tc>
        <w:tc>
          <w:tcPr>
            <w:tcW w:w="451" w:type="pct"/>
            <w:vAlign w:val="center"/>
          </w:tcPr>
          <w:p w14:paraId="728510CF"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99.42%</w:t>
            </w:r>
          </w:p>
        </w:tc>
        <w:tc>
          <w:tcPr>
            <w:tcW w:w="451" w:type="pct"/>
            <w:vAlign w:val="center"/>
          </w:tcPr>
          <w:p w14:paraId="728510D0"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97.53%</w:t>
            </w:r>
          </w:p>
        </w:tc>
      </w:tr>
      <w:tr w:rsidR="00E541EC" w:rsidRPr="00E541EC" w14:paraId="728510DC" w14:textId="77777777" w:rsidTr="00E541EC">
        <w:trPr>
          <w:cantSplit/>
          <w:trHeight w:val="510"/>
        </w:trPr>
        <w:tc>
          <w:tcPr>
            <w:tcW w:w="939" w:type="pct"/>
            <w:shd w:val="clear" w:color="auto" w:fill="auto"/>
            <w:vAlign w:val="center"/>
          </w:tcPr>
          <w:p w14:paraId="728510D2" w14:textId="77777777" w:rsidR="005B5C58" w:rsidRPr="00E541EC" w:rsidRDefault="005B5C58" w:rsidP="00DC694D">
            <w:pPr>
              <w:pStyle w:val="Heading3"/>
              <w:keepNext w:val="0"/>
              <w:spacing w:before="0"/>
              <w:rPr>
                <w:rFonts w:cs="Arial"/>
                <w:b w:val="0"/>
                <w:color w:val="auto"/>
                <w:sz w:val="22"/>
                <w:szCs w:val="22"/>
              </w:rPr>
            </w:pPr>
            <w:r w:rsidRPr="00E541EC">
              <w:rPr>
                <w:rFonts w:cs="Arial"/>
                <w:color w:val="auto"/>
                <w:sz w:val="22"/>
                <w:szCs w:val="22"/>
              </w:rPr>
              <w:t>Service level 4</w:t>
            </w:r>
          </w:p>
        </w:tc>
        <w:tc>
          <w:tcPr>
            <w:tcW w:w="451" w:type="pct"/>
            <w:vAlign w:val="center"/>
          </w:tcPr>
          <w:p w14:paraId="728510D3"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vAlign w:val="center"/>
          </w:tcPr>
          <w:p w14:paraId="728510D4"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92.86%</w:t>
            </w:r>
          </w:p>
        </w:tc>
        <w:tc>
          <w:tcPr>
            <w:tcW w:w="451" w:type="pct"/>
            <w:vAlign w:val="center"/>
          </w:tcPr>
          <w:p w14:paraId="728510D5"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91.67%</w:t>
            </w:r>
          </w:p>
        </w:tc>
        <w:tc>
          <w:tcPr>
            <w:tcW w:w="451" w:type="pct"/>
            <w:shd w:val="clear" w:color="auto" w:fill="auto"/>
            <w:vAlign w:val="center"/>
          </w:tcPr>
          <w:p w14:paraId="728510D6"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99.92%</w:t>
            </w:r>
          </w:p>
        </w:tc>
        <w:tc>
          <w:tcPr>
            <w:tcW w:w="451" w:type="pct"/>
            <w:shd w:val="clear" w:color="auto" w:fill="auto"/>
            <w:vAlign w:val="center"/>
          </w:tcPr>
          <w:p w14:paraId="728510D7"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shd w:val="clear" w:color="auto" w:fill="auto"/>
            <w:vAlign w:val="center"/>
          </w:tcPr>
          <w:p w14:paraId="728510D8"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vAlign w:val="center"/>
          </w:tcPr>
          <w:p w14:paraId="728510D9"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92.86%</w:t>
            </w:r>
          </w:p>
        </w:tc>
        <w:tc>
          <w:tcPr>
            <w:tcW w:w="451" w:type="pct"/>
            <w:vAlign w:val="center"/>
          </w:tcPr>
          <w:p w14:paraId="728510DA"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c>
          <w:tcPr>
            <w:tcW w:w="451" w:type="pct"/>
            <w:vAlign w:val="center"/>
          </w:tcPr>
          <w:p w14:paraId="728510DB" w14:textId="77777777" w:rsidR="005B5C58" w:rsidRPr="00E541EC" w:rsidRDefault="005B5C58" w:rsidP="00DC694D">
            <w:pPr>
              <w:widowControl w:val="0"/>
              <w:autoSpaceDE w:val="0"/>
              <w:autoSpaceDN w:val="0"/>
              <w:adjustRightInd w:val="0"/>
              <w:jc w:val="center"/>
              <w:rPr>
                <w:rFonts w:asciiTheme="majorHAnsi" w:eastAsiaTheme="minorEastAsia" w:hAnsiTheme="majorHAnsi" w:cs="Arial"/>
                <w:snapToGrid w:val="0"/>
                <w:lang w:val="en-US"/>
              </w:rPr>
            </w:pPr>
            <w:r w:rsidRPr="00E541EC">
              <w:rPr>
                <w:rFonts w:asciiTheme="majorHAnsi" w:eastAsiaTheme="minorEastAsia" w:hAnsiTheme="majorHAnsi" w:cs="Arial"/>
                <w:snapToGrid w:val="0"/>
                <w:lang w:val="en-US"/>
              </w:rPr>
              <w:t>100%</w:t>
            </w:r>
          </w:p>
        </w:tc>
      </w:tr>
    </w:tbl>
    <w:p w14:paraId="728510DD" w14:textId="77777777" w:rsidR="00E541EC" w:rsidRDefault="00E541EC" w:rsidP="00E541EC"/>
    <w:p w14:paraId="728510DE" w14:textId="25A7CBD7" w:rsidR="005B5C58" w:rsidRPr="00076137" w:rsidRDefault="005B5C58" w:rsidP="00E541EC">
      <w:pPr>
        <w:rPr>
          <w:rFonts w:asciiTheme="majorHAnsi" w:hAnsiTheme="majorHAnsi"/>
        </w:rPr>
      </w:pPr>
      <w:r w:rsidRPr="00076137">
        <w:rPr>
          <w:rFonts w:asciiTheme="majorHAnsi" w:hAnsiTheme="majorHAnsi"/>
        </w:rPr>
        <w:t xml:space="preserve">The outreach service provider has fully met all service levels in Quarter 3, </w:t>
      </w:r>
      <w:r w:rsidR="0030427B">
        <w:rPr>
          <w:rFonts w:asciiTheme="majorHAnsi" w:hAnsiTheme="majorHAnsi"/>
        </w:rPr>
        <w:t>2015–16</w:t>
      </w:r>
      <w:r w:rsidRPr="00076137">
        <w:rPr>
          <w:rFonts w:asciiTheme="majorHAnsi" w:hAnsiTheme="majorHAnsi"/>
        </w:rPr>
        <w:t>. The Department considers the performance of the outreach service provider to be generally consistent with its obligations in t</w:t>
      </w:r>
      <w:r w:rsidR="0030427B">
        <w:rPr>
          <w:rFonts w:asciiTheme="majorHAnsi" w:hAnsiTheme="majorHAnsi"/>
        </w:rPr>
        <w:t>he Outreach Services Agreement.</w:t>
      </w:r>
    </w:p>
    <w:p w14:paraId="728510DF" w14:textId="77777777" w:rsidR="005B5C58" w:rsidRDefault="005B5C58" w:rsidP="006B3774">
      <w:pPr>
        <w:pStyle w:val="Heading3"/>
      </w:pPr>
      <w:r w:rsidRPr="003D09F1">
        <w:t xml:space="preserve">Outreach service provider performance against </w:t>
      </w:r>
      <w:r w:rsidRPr="0060762A">
        <w:t>Key Activity Measures (KAMs)</w:t>
      </w:r>
      <w:r>
        <w:t xml:space="preserve"> </w:t>
      </w:r>
    </w:p>
    <w:p w14:paraId="728510E0" w14:textId="0E9A4948" w:rsidR="005B5C58" w:rsidRPr="006B3774" w:rsidRDefault="00076137" w:rsidP="006B3774">
      <w:pPr>
        <w:rPr>
          <w:rFonts w:asciiTheme="majorHAnsi" w:hAnsiTheme="majorHAnsi"/>
        </w:rPr>
      </w:pPr>
      <w:r w:rsidRPr="006B3774">
        <w:rPr>
          <w:rFonts w:asciiTheme="majorHAnsi" w:hAnsiTheme="majorHAnsi"/>
        </w:rPr>
        <w:t>In</w:t>
      </w:r>
      <w:r w:rsidR="005B5C58" w:rsidRPr="006B3774">
        <w:rPr>
          <w:rFonts w:asciiTheme="majorHAnsi" w:hAnsiTheme="majorHAnsi"/>
        </w:rPr>
        <w:t xml:space="preserve"> addition to the service levels, the performance of the outreach service provider in </w:t>
      </w:r>
      <w:r w:rsidR="0030427B">
        <w:rPr>
          <w:rFonts w:asciiTheme="majorHAnsi" w:hAnsiTheme="majorHAnsi"/>
        </w:rPr>
        <w:t>2015–16</w:t>
      </w:r>
      <w:r w:rsidR="005B5C58" w:rsidRPr="006B3774">
        <w:rPr>
          <w:rFonts w:asciiTheme="majorHAnsi" w:hAnsiTheme="majorHAnsi"/>
        </w:rPr>
        <w:t xml:space="preserve"> is measured against a number of Key Activity Measures (KAMs) and Key Performance Indicators (KPIs). </w:t>
      </w:r>
    </w:p>
    <w:p w14:paraId="728510E1" w14:textId="77777777" w:rsidR="005B5C58" w:rsidRPr="006B3774" w:rsidRDefault="005B5C58" w:rsidP="006B3774">
      <w:pPr>
        <w:rPr>
          <w:rFonts w:asciiTheme="majorHAnsi" w:hAnsiTheme="majorHAnsi"/>
          <w:szCs w:val="24"/>
        </w:rPr>
      </w:pPr>
      <w:r w:rsidRPr="006B3774">
        <w:rPr>
          <w:rFonts w:asciiTheme="majorHAnsi" w:hAnsiTheme="majorHAnsi"/>
          <w:szCs w:val="24"/>
        </w:rPr>
        <w:t xml:space="preserve">The outreach service provider’s performance against these measures, along with associated annual targets, are outlined </w:t>
      </w:r>
      <w:r w:rsidR="00333144">
        <w:rPr>
          <w:rFonts w:asciiTheme="majorHAnsi" w:hAnsiTheme="majorHAnsi"/>
          <w:szCs w:val="24"/>
        </w:rPr>
        <w:t xml:space="preserve">in Table 4 </w:t>
      </w:r>
      <w:r w:rsidRPr="006B3774">
        <w:rPr>
          <w:rFonts w:asciiTheme="majorHAnsi" w:hAnsiTheme="majorHAnsi"/>
          <w:szCs w:val="24"/>
        </w:rPr>
        <w:t>below:</w:t>
      </w:r>
    </w:p>
    <w:p w14:paraId="728510E2" w14:textId="77777777" w:rsidR="005B5C58" w:rsidRPr="00076137" w:rsidRDefault="00333144" w:rsidP="00076137">
      <w:pPr>
        <w:pStyle w:val="Tablefigureheading"/>
        <w:rPr>
          <w:rStyle w:val="Strong"/>
          <w:b/>
          <w:bCs w:val="0"/>
        </w:rPr>
      </w:pPr>
      <w:r>
        <w:rPr>
          <w:rStyle w:val="Strong"/>
          <w:b/>
          <w:bCs w:val="0"/>
        </w:rPr>
        <w:t xml:space="preserve">Table 4. </w:t>
      </w:r>
      <w:r w:rsidR="005B5C58" w:rsidRPr="00076137">
        <w:rPr>
          <w:rStyle w:val="Strong"/>
          <w:b/>
          <w:bCs w:val="0"/>
        </w:rPr>
        <w:t>Outreach service provider performance against Key Activity Measures (KAMs)</w:t>
      </w:r>
    </w:p>
    <w:tbl>
      <w:tblPr>
        <w:tblStyle w:val="TableGrid"/>
        <w:tblW w:w="9271" w:type="dxa"/>
        <w:tblBorders>
          <w:top w:val="none" w:sz="0" w:space="0" w:color="auto"/>
          <w:left w:val="none" w:sz="0" w:space="0" w:color="auto"/>
          <w:right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Description w:val="Table 4. Outreach service provider performance against Key Activity Measures (KAMs)"/>
      </w:tblPr>
      <w:tblGrid>
        <w:gridCol w:w="3261"/>
        <w:gridCol w:w="992"/>
        <w:gridCol w:w="993"/>
        <w:gridCol w:w="1134"/>
        <w:gridCol w:w="1077"/>
        <w:gridCol w:w="907"/>
        <w:gridCol w:w="907"/>
      </w:tblGrid>
      <w:tr w:rsidR="005B5C58" w:rsidRPr="0021175E" w14:paraId="728510EA" w14:textId="77777777" w:rsidTr="0021175E">
        <w:trPr>
          <w:cantSplit/>
          <w:trHeight w:val="454"/>
          <w:tblHeader/>
        </w:trPr>
        <w:tc>
          <w:tcPr>
            <w:tcW w:w="3261" w:type="dxa"/>
            <w:vAlign w:val="center"/>
          </w:tcPr>
          <w:p w14:paraId="728510E3" w14:textId="77777777" w:rsidR="005B5C58" w:rsidRPr="0021175E" w:rsidRDefault="005B5C58" w:rsidP="0021175E">
            <w:pPr>
              <w:keepNext/>
              <w:spacing w:after="0"/>
              <w:rPr>
                <w:rFonts w:ascii="Calibri Light" w:hAnsi="Calibri Light" w:cs="Arial"/>
                <w:sz w:val="20"/>
                <w:szCs w:val="20"/>
              </w:rPr>
            </w:pPr>
          </w:p>
        </w:tc>
        <w:tc>
          <w:tcPr>
            <w:tcW w:w="992" w:type="dxa"/>
            <w:shd w:val="clear" w:color="auto" w:fill="auto"/>
            <w:vAlign w:val="center"/>
          </w:tcPr>
          <w:p w14:paraId="728510E4" w14:textId="48ECE85D"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Q1</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993" w:type="dxa"/>
            <w:shd w:val="clear" w:color="auto" w:fill="auto"/>
            <w:vAlign w:val="center"/>
          </w:tcPr>
          <w:p w14:paraId="728510E5" w14:textId="2ED1FADE"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 xml:space="preserve">Q2 </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1134" w:type="dxa"/>
            <w:shd w:val="clear" w:color="auto" w:fill="auto"/>
            <w:vAlign w:val="center"/>
          </w:tcPr>
          <w:p w14:paraId="728510E6" w14:textId="2014907C"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Q3</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1077" w:type="dxa"/>
            <w:shd w:val="clear" w:color="auto" w:fill="auto"/>
            <w:vAlign w:val="center"/>
          </w:tcPr>
          <w:p w14:paraId="728510E7" w14:textId="693897A0"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Q4</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907" w:type="dxa"/>
            <w:shd w:val="clear" w:color="auto" w:fill="auto"/>
            <w:vAlign w:val="center"/>
          </w:tcPr>
          <w:p w14:paraId="728510E8" w14:textId="6A144EDD"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Actual Activity</w:t>
            </w:r>
            <w:r w:rsidR="0030427B" w:rsidRPr="0021175E">
              <w:rPr>
                <w:rFonts w:ascii="Calibri Light" w:hAnsi="Calibri Light" w:cs="Arial"/>
                <w:b/>
                <w:sz w:val="20"/>
                <w:szCs w:val="20"/>
              </w:rPr>
              <w:t xml:space="preserve"> </w:t>
            </w:r>
            <w:r w:rsidRPr="0021175E">
              <w:rPr>
                <w:rFonts w:ascii="Calibri Light" w:hAnsi="Calibri Light" w:cs="Arial"/>
                <w:b/>
                <w:sz w:val="20"/>
                <w:szCs w:val="20"/>
              </w:rPr>
              <w:t xml:space="preserve"> YTD</w:t>
            </w:r>
          </w:p>
        </w:tc>
        <w:tc>
          <w:tcPr>
            <w:tcW w:w="907" w:type="dxa"/>
            <w:vAlign w:val="center"/>
          </w:tcPr>
          <w:p w14:paraId="728510E9"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KPI</w:t>
            </w:r>
            <w:r w:rsidRPr="0021175E">
              <w:rPr>
                <w:rFonts w:ascii="Calibri Light" w:hAnsi="Calibri Light" w:cs="Arial"/>
                <w:b/>
                <w:sz w:val="20"/>
                <w:szCs w:val="20"/>
              </w:rPr>
              <w:br/>
              <w:t>Annual Target</w:t>
            </w:r>
          </w:p>
        </w:tc>
      </w:tr>
      <w:tr w:rsidR="005B5C58" w:rsidRPr="0021175E" w14:paraId="728510F2" w14:textId="77777777" w:rsidTr="0021175E">
        <w:trPr>
          <w:cantSplit/>
          <w:trHeight w:val="454"/>
        </w:trPr>
        <w:tc>
          <w:tcPr>
            <w:tcW w:w="3261" w:type="dxa"/>
            <w:vAlign w:val="center"/>
          </w:tcPr>
          <w:p w14:paraId="728510EB"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KAM 1.1:</w:t>
            </w:r>
            <w:r w:rsidRPr="0021175E">
              <w:rPr>
                <w:rFonts w:ascii="Calibri Light" w:hAnsi="Calibri Light" w:cs="Arial"/>
                <w:sz w:val="20"/>
                <w:szCs w:val="20"/>
              </w:rPr>
              <w:t xml:space="preserve"> # organisations with contact centre operations for the eleven phone numbers most frequently called through the NRS</w:t>
            </w:r>
            <w:r w:rsidRPr="0021175E">
              <w:rPr>
                <w:rFonts w:ascii="Calibri Light" w:hAnsi="Calibri Light" w:cs="Arial"/>
                <w:sz w:val="20"/>
                <w:szCs w:val="20"/>
                <w:vertAlign w:val="superscript"/>
              </w:rPr>
              <w:footnoteReference w:id="2"/>
            </w:r>
            <w:r w:rsidRPr="0021175E">
              <w:rPr>
                <w:rFonts w:ascii="Calibri Light" w:hAnsi="Calibri Light" w:cs="Arial"/>
                <w:sz w:val="20"/>
                <w:szCs w:val="20"/>
              </w:rPr>
              <w:t xml:space="preserve"> that are engaged with the Relay Service Friendly Programme</w:t>
            </w:r>
          </w:p>
        </w:tc>
        <w:tc>
          <w:tcPr>
            <w:tcW w:w="992" w:type="dxa"/>
            <w:shd w:val="clear" w:color="auto" w:fill="auto"/>
            <w:vAlign w:val="center"/>
          </w:tcPr>
          <w:p w14:paraId="728510EC"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0</w:t>
            </w:r>
          </w:p>
        </w:tc>
        <w:tc>
          <w:tcPr>
            <w:tcW w:w="993" w:type="dxa"/>
            <w:shd w:val="clear" w:color="auto" w:fill="auto"/>
            <w:vAlign w:val="center"/>
          </w:tcPr>
          <w:p w14:paraId="728510ED"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0</w:t>
            </w:r>
          </w:p>
        </w:tc>
        <w:tc>
          <w:tcPr>
            <w:tcW w:w="1134" w:type="dxa"/>
            <w:shd w:val="clear" w:color="auto" w:fill="auto"/>
            <w:vAlign w:val="center"/>
          </w:tcPr>
          <w:p w14:paraId="728510EE"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w:t>
            </w:r>
          </w:p>
        </w:tc>
        <w:tc>
          <w:tcPr>
            <w:tcW w:w="1077" w:type="dxa"/>
            <w:shd w:val="clear" w:color="auto" w:fill="auto"/>
            <w:vAlign w:val="center"/>
          </w:tcPr>
          <w:p w14:paraId="728510EF"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0F0"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w:t>
            </w:r>
          </w:p>
        </w:tc>
        <w:tc>
          <w:tcPr>
            <w:tcW w:w="907" w:type="dxa"/>
            <w:vAlign w:val="center"/>
          </w:tcPr>
          <w:p w14:paraId="728510F1"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5</w:t>
            </w:r>
          </w:p>
        </w:tc>
      </w:tr>
      <w:tr w:rsidR="005B5C58" w:rsidRPr="0021175E" w14:paraId="728510FA" w14:textId="77777777" w:rsidTr="0021175E">
        <w:trPr>
          <w:cantSplit/>
          <w:trHeight w:val="454"/>
        </w:trPr>
        <w:tc>
          <w:tcPr>
            <w:tcW w:w="3261" w:type="dxa"/>
            <w:vAlign w:val="center"/>
          </w:tcPr>
          <w:p w14:paraId="728510F3"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KAM 2.1</w:t>
            </w:r>
            <w:r w:rsidRPr="0021175E">
              <w:rPr>
                <w:rFonts w:ascii="Calibri Light" w:hAnsi="Calibri Light" w:cs="Arial"/>
                <w:sz w:val="20"/>
                <w:szCs w:val="20"/>
              </w:rPr>
              <w:t>: # simulated NRS call journeys completed between 1 January 2016 and 30 June 2016</w:t>
            </w:r>
            <w:r w:rsidRPr="0021175E">
              <w:rPr>
                <w:rFonts w:ascii="Calibri Light" w:hAnsi="Calibri Light" w:cs="Arial"/>
                <w:sz w:val="20"/>
                <w:szCs w:val="20"/>
              </w:rPr>
              <w:br/>
              <w:t>(to commence in early 2016)</w:t>
            </w:r>
          </w:p>
        </w:tc>
        <w:tc>
          <w:tcPr>
            <w:tcW w:w="992" w:type="dxa"/>
            <w:shd w:val="clear" w:color="auto" w:fill="auto"/>
            <w:vAlign w:val="center"/>
          </w:tcPr>
          <w:p w14:paraId="728510F4"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93" w:type="dxa"/>
            <w:shd w:val="clear" w:color="auto" w:fill="auto"/>
            <w:vAlign w:val="center"/>
          </w:tcPr>
          <w:p w14:paraId="728510F5"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1134" w:type="dxa"/>
            <w:shd w:val="clear" w:color="auto" w:fill="auto"/>
            <w:vAlign w:val="center"/>
          </w:tcPr>
          <w:p w14:paraId="728510F6"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0</w:t>
            </w:r>
          </w:p>
        </w:tc>
        <w:tc>
          <w:tcPr>
            <w:tcW w:w="1077" w:type="dxa"/>
            <w:shd w:val="clear" w:color="auto" w:fill="auto"/>
            <w:vAlign w:val="center"/>
          </w:tcPr>
          <w:p w14:paraId="728510F7"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0F8" w14:textId="77777777" w:rsidR="005B5C58" w:rsidRPr="0021175E" w:rsidRDefault="005B5C58" w:rsidP="0021175E">
            <w:pPr>
              <w:keepNext/>
              <w:spacing w:after="0"/>
              <w:jc w:val="center"/>
              <w:rPr>
                <w:rFonts w:ascii="Calibri Light" w:hAnsi="Calibri Light" w:cs="Arial"/>
                <w:b/>
                <w:sz w:val="20"/>
                <w:szCs w:val="20"/>
              </w:rPr>
            </w:pPr>
          </w:p>
        </w:tc>
        <w:tc>
          <w:tcPr>
            <w:tcW w:w="907" w:type="dxa"/>
            <w:vAlign w:val="center"/>
          </w:tcPr>
          <w:p w14:paraId="728510F9"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250</w:t>
            </w:r>
          </w:p>
        </w:tc>
      </w:tr>
      <w:tr w:rsidR="005B5C58" w:rsidRPr="0021175E" w14:paraId="72851102" w14:textId="77777777" w:rsidTr="0021175E">
        <w:trPr>
          <w:cantSplit/>
          <w:trHeight w:val="454"/>
        </w:trPr>
        <w:tc>
          <w:tcPr>
            <w:tcW w:w="3261" w:type="dxa"/>
            <w:vAlign w:val="center"/>
          </w:tcPr>
          <w:p w14:paraId="728510FB" w14:textId="77777777" w:rsidR="005B5C58" w:rsidRPr="0021175E" w:rsidRDefault="005B5C58" w:rsidP="0021175E">
            <w:pPr>
              <w:keepNext/>
              <w:spacing w:after="0"/>
              <w:rPr>
                <w:rFonts w:ascii="Calibri Light" w:hAnsi="Calibri Light" w:cs="Arial"/>
                <w:b/>
                <w:sz w:val="20"/>
                <w:szCs w:val="20"/>
              </w:rPr>
            </w:pPr>
            <w:r w:rsidRPr="0021175E">
              <w:rPr>
                <w:rFonts w:ascii="Calibri Light" w:hAnsi="Calibri Light" w:cs="Arial"/>
                <w:b/>
                <w:sz w:val="20"/>
                <w:szCs w:val="20"/>
              </w:rPr>
              <w:t>KAM 2.2</w:t>
            </w:r>
            <w:r w:rsidRPr="0021175E">
              <w:rPr>
                <w:rFonts w:ascii="Calibri Light" w:hAnsi="Calibri Light" w:cs="Arial"/>
                <w:sz w:val="20"/>
                <w:szCs w:val="20"/>
              </w:rPr>
              <w:t>: New NRS branding and related guidelines completed by 28 February 2016</w:t>
            </w:r>
          </w:p>
        </w:tc>
        <w:tc>
          <w:tcPr>
            <w:tcW w:w="992" w:type="dxa"/>
            <w:shd w:val="clear" w:color="auto" w:fill="auto"/>
            <w:vAlign w:val="center"/>
          </w:tcPr>
          <w:p w14:paraId="728510FC"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93" w:type="dxa"/>
            <w:shd w:val="clear" w:color="auto" w:fill="auto"/>
            <w:vAlign w:val="center"/>
          </w:tcPr>
          <w:p w14:paraId="728510FD"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1134" w:type="dxa"/>
            <w:shd w:val="clear" w:color="auto" w:fill="auto"/>
            <w:vAlign w:val="center"/>
          </w:tcPr>
          <w:p w14:paraId="728510FE"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Completed</w:t>
            </w:r>
          </w:p>
        </w:tc>
        <w:tc>
          <w:tcPr>
            <w:tcW w:w="1077" w:type="dxa"/>
            <w:shd w:val="clear" w:color="auto" w:fill="auto"/>
            <w:vAlign w:val="center"/>
          </w:tcPr>
          <w:p w14:paraId="728510FF"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00" w14:textId="77777777" w:rsidR="005B5C58" w:rsidRPr="0021175E" w:rsidRDefault="005B5C58" w:rsidP="0021175E">
            <w:pPr>
              <w:keepNext/>
              <w:spacing w:after="0"/>
              <w:jc w:val="center"/>
              <w:rPr>
                <w:rFonts w:ascii="Calibri Light" w:hAnsi="Calibri Light" w:cs="Arial"/>
                <w:b/>
                <w:sz w:val="20"/>
                <w:szCs w:val="20"/>
              </w:rPr>
            </w:pPr>
          </w:p>
        </w:tc>
        <w:tc>
          <w:tcPr>
            <w:tcW w:w="907" w:type="dxa"/>
            <w:vAlign w:val="center"/>
          </w:tcPr>
          <w:p w14:paraId="72851101" w14:textId="77777777" w:rsidR="005B5C58" w:rsidRPr="0021175E" w:rsidRDefault="005B5C58" w:rsidP="0021175E">
            <w:pPr>
              <w:keepNext/>
              <w:spacing w:after="0"/>
              <w:jc w:val="center"/>
              <w:rPr>
                <w:rFonts w:ascii="Calibri Light" w:hAnsi="Calibri Light" w:cs="Arial"/>
                <w:b/>
                <w:sz w:val="20"/>
                <w:szCs w:val="20"/>
              </w:rPr>
            </w:pPr>
          </w:p>
        </w:tc>
      </w:tr>
      <w:tr w:rsidR="005B5C58" w:rsidRPr="0021175E" w14:paraId="7285110A" w14:textId="77777777" w:rsidTr="0021175E">
        <w:trPr>
          <w:cantSplit/>
          <w:trHeight w:val="454"/>
        </w:trPr>
        <w:tc>
          <w:tcPr>
            <w:tcW w:w="3261" w:type="dxa"/>
            <w:vAlign w:val="center"/>
          </w:tcPr>
          <w:p w14:paraId="72851103"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KAM 2.3:</w:t>
            </w:r>
            <w:r w:rsidRPr="0021175E">
              <w:rPr>
                <w:rFonts w:ascii="Calibri Light" w:hAnsi="Calibri Light" w:cs="Arial"/>
                <w:sz w:val="20"/>
                <w:szCs w:val="20"/>
              </w:rPr>
              <w:t xml:space="preserve"> Build of new NRS website is finalised by 30 June 2016</w:t>
            </w:r>
          </w:p>
        </w:tc>
        <w:tc>
          <w:tcPr>
            <w:tcW w:w="992" w:type="dxa"/>
            <w:shd w:val="clear" w:color="auto" w:fill="auto"/>
            <w:vAlign w:val="center"/>
          </w:tcPr>
          <w:p w14:paraId="72851104"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93" w:type="dxa"/>
            <w:shd w:val="clear" w:color="auto" w:fill="auto"/>
            <w:vAlign w:val="center"/>
          </w:tcPr>
          <w:p w14:paraId="72851105"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1134" w:type="dxa"/>
            <w:shd w:val="clear" w:color="auto" w:fill="auto"/>
            <w:vAlign w:val="center"/>
          </w:tcPr>
          <w:p w14:paraId="72851106"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1077" w:type="dxa"/>
            <w:shd w:val="clear" w:color="auto" w:fill="auto"/>
            <w:vAlign w:val="center"/>
          </w:tcPr>
          <w:p w14:paraId="72851107"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08"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 xml:space="preserve"> </w:t>
            </w:r>
          </w:p>
        </w:tc>
        <w:tc>
          <w:tcPr>
            <w:tcW w:w="907" w:type="dxa"/>
            <w:vAlign w:val="center"/>
          </w:tcPr>
          <w:p w14:paraId="72851109" w14:textId="77777777" w:rsidR="005B5C58" w:rsidRPr="0021175E" w:rsidRDefault="005B5C58" w:rsidP="0021175E">
            <w:pPr>
              <w:keepNext/>
              <w:spacing w:after="0"/>
              <w:jc w:val="center"/>
              <w:rPr>
                <w:rFonts w:ascii="Calibri Light" w:hAnsi="Calibri Light" w:cs="Arial"/>
                <w:b/>
                <w:sz w:val="20"/>
                <w:szCs w:val="20"/>
              </w:rPr>
            </w:pPr>
          </w:p>
        </w:tc>
      </w:tr>
      <w:tr w:rsidR="005B5C58" w:rsidRPr="0021175E" w14:paraId="72851112" w14:textId="77777777" w:rsidTr="0021175E">
        <w:trPr>
          <w:cantSplit/>
          <w:trHeight w:val="454"/>
        </w:trPr>
        <w:tc>
          <w:tcPr>
            <w:tcW w:w="3261" w:type="dxa"/>
            <w:vAlign w:val="center"/>
          </w:tcPr>
          <w:p w14:paraId="7285110B"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KAM 2.4</w:t>
            </w:r>
            <w:r w:rsidRPr="0021175E">
              <w:rPr>
                <w:rFonts w:ascii="Calibri Light" w:hAnsi="Calibri Light" w:cs="Arial"/>
                <w:sz w:val="20"/>
                <w:szCs w:val="20"/>
              </w:rPr>
              <w:t xml:space="preserve">: # </w:t>
            </w:r>
            <w:proofErr w:type="spellStart"/>
            <w:r w:rsidRPr="0021175E">
              <w:rPr>
                <w:rFonts w:ascii="Calibri Light" w:hAnsi="Calibri Light" w:cs="Arial"/>
                <w:sz w:val="20"/>
                <w:szCs w:val="20"/>
              </w:rPr>
              <w:t>clickthroughs</w:t>
            </w:r>
            <w:proofErr w:type="spellEnd"/>
            <w:r w:rsidRPr="0021175E">
              <w:rPr>
                <w:rFonts w:ascii="Calibri Light" w:hAnsi="Calibri Light" w:cs="Arial"/>
                <w:sz w:val="20"/>
                <w:szCs w:val="20"/>
              </w:rPr>
              <w:t xml:space="preserve"> from Australia to simulated call portal </w:t>
            </w:r>
            <w:r w:rsidRPr="0021175E">
              <w:rPr>
                <w:rFonts w:ascii="Calibri Light" w:hAnsi="Calibri Light" w:cs="Arial"/>
                <w:sz w:val="20"/>
                <w:szCs w:val="20"/>
              </w:rPr>
              <w:br/>
              <w:t>(to commence in early 2016)</w:t>
            </w:r>
          </w:p>
        </w:tc>
        <w:tc>
          <w:tcPr>
            <w:tcW w:w="992" w:type="dxa"/>
            <w:shd w:val="clear" w:color="auto" w:fill="auto"/>
            <w:vAlign w:val="center"/>
          </w:tcPr>
          <w:p w14:paraId="7285110C"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93" w:type="dxa"/>
            <w:shd w:val="clear" w:color="auto" w:fill="auto"/>
            <w:vAlign w:val="center"/>
          </w:tcPr>
          <w:p w14:paraId="7285110D"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1134" w:type="dxa"/>
            <w:shd w:val="clear" w:color="auto" w:fill="auto"/>
            <w:vAlign w:val="center"/>
          </w:tcPr>
          <w:p w14:paraId="7285110E"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1077" w:type="dxa"/>
            <w:shd w:val="clear" w:color="auto" w:fill="auto"/>
            <w:vAlign w:val="center"/>
          </w:tcPr>
          <w:p w14:paraId="7285110F"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10" w14:textId="77777777" w:rsidR="005B5C58" w:rsidRPr="0021175E" w:rsidRDefault="005B5C58" w:rsidP="0021175E">
            <w:pPr>
              <w:keepNext/>
              <w:spacing w:after="0"/>
              <w:jc w:val="center"/>
              <w:rPr>
                <w:rFonts w:ascii="Calibri Light" w:hAnsi="Calibri Light" w:cs="Arial"/>
                <w:b/>
                <w:sz w:val="20"/>
                <w:szCs w:val="20"/>
              </w:rPr>
            </w:pPr>
          </w:p>
        </w:tc>
        <w:tc>
          <w:tcPr>
            <w:tcW w:w="907" w:type="dxa"/>
            <w:vAlign w:val="center"/>
          </w:tcPr>
          <w:p w14:paraId="72851111"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2,000</w:t>
            </w:r>
          </w:p>
        </w:tc>
      </w:tr>
      <w:tr w:rsidR="005B5C58" w:rsidRPr="0021175E" w14:paraId="7285111A" w14:textId="77777777" w:rsidTr="0021175E">
        <w:trPr>
          <w:cantSplit/>
          <w:trHeight w:val="454"/>
        </w:trPr>
        <w:tc>
          <w:tcPr>
            <w:tcW w:w="3261" w:type="dxa"/>
            <w:vAlign w:val="center"/>
          </w:tcPr>
          <w:p w14:paraId="72851113"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KAM 3.1:</w:t>
            </w:r>
            <w:r w:rsidRPr="0021175E">
              <w:rPr>
                <w:rFonts w:ascii="Calibri Light" w:hAnsi="Calibri Light" w:cs="Arial"/>
                <w:sz w:val="20"/>
                <w:szCs w:val="20"/>
              </w:rPr>
              <w:t xml:space="preserve"> # participants in Training Sessions relevant to people with complex communication needs which cover mobile NRS calls including through the NRS app</w:t>
            </w:r>
          </w:p>
        </w:tc>
        <w:tc>
          <w:tcPr>
            <w:tcW w:w="992" w:type="dxa"/>
            <w:shd w:val="clear" w:color="auto" w:fill="auto"/>
            <w:vAlign w:val="center"/>
          </w:tcPr>
          <w:p w14:paraId="72851114"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21</w:t>
            </w:r>
          </w:p>
        </w:tc>
        <w:tc>
          <w:tcPr>
            <w:tcW w:w="993" w:type="dxa"/>
            <w:shd w:val="clear" w:color="auto" w:fill="auto"/>
            <w:vAlign w:val="center"/>
          </w:tcPr>
          <w:p w14:paraId="72851115"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23</w:t>
            </w:r>
          </w:p>
        </w:tc>
        <w:tc>
          <w:tcPr>
            <w:tcW w:w="1134" w:type="dxa"/>
            <w:shd w:val="clear" w:color="auto" w:fill="auto"/>
            <w:vAlign w:val="center"/>
          </w:tcPr>
          <w:p w14:paraId="72851116"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53</w:t>
            </w:r>
          </w:p>
        </w:tc>
        <w:tc>
          <w:tcPr>
            <w:tcW w:w="1077" w:type="dxa"/>
            <w:shd w:val="clear" w:color="auto" w:fill="auto"/>
            <w:vAlign w:val="center"/>
          </w:tcPr>
          <w:p w14:paraId="72851117"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18"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97</w:t>
            </w:r>
          </w:p>
        </w:tc>
        <w:tc>
          <w:tcPr>
            <w:tcW w:w="907" w:type="dxa"/>
            <w:vAlign w:val="center"/>
          </w:tcPr>
          <w:p w14:paraId="72851119"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40</w:t>
            </w:r>
          </w:p>
        </w:tc>
      </w:tr>
      <w:tr w:rsidR="005B5C58" w:rsidRPr="0021175E" w14:paraId="72851122" w14:textId="77777777" w:rsidTr="0021175E">
        <w:trPr>
          <w:cantSplit/>
          <w:trHeight w:val="454"/>
        </w:trPr>
        <w:tc>
          <w:tcPr>
            <w:tcW w:w="3261" w:type="dxa"/>
            <w:vAlign w:val="center"/>
          </w:tcPr>
          <w:p w14:paraId="7285111B" w14:textId="77777777" w:rsidR="005B5C58" w:rsidRPr="0021175E" w:rsidRDefault="005B5C58" w:rsidP="0021175E">
            <w:pPr>
              <w:pStyle w:val="Default"/>
              <w:rPr>
                <w:rFonts w:ascii="Calibri Light" w:hAnsi="Calibri Light" w:cs="Arial"/>
                <w:b/>
                <w:sz w:val="20"/>
                <w:szCs w:val="20"/>
              </w:rPr>
            </w:pPr>
            <w:r w:rsidRPr="0021175E">
              <w:rPr>
                <w:rFonts w:ascii="Calibri Light" w:hAnsi="Calibri Light" w:cs="Arial"/>
                <w:b/>
                <w:sz w:val="20"/>
                <w:szCs w:val="20"/>
              </w:rPr>
              <w:t>KAM 3.2</w:t>
            </w:r>
            <w:r w:rsidRPr="0021175E">
              <w:rPr>
                <w:rFonts w:ascii="Calibri Light" w:hAnsi="Calibri Light" w:cs="Arial"/>
                <w:sz w:val="20"/>
                <w:szCs w:val="20"/>
              </w:rPr>
              <w:t>: # participants in Awareness Sessions relevant to people with complex communication needs which cover mobile NRS calls including through the NRS app</w:t>
            </w:r>
          </w:p>
        </w:tc>
        <w:tc>
          <w:tcPr>
            <w:tcW w:w="992" w:type="dxa"/>
            <w:shd w:val="clear" w:color="auto" w:fill="auto"/>
            <w:vAlign w:val="center"/>
          </w:tcPr>
          <w:p w14:paraId="7285111C"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77</w:t>
            </w:r>
          </w:p>
        </w:tc>
        <w:tc>
          <w:tcPr>
            <w:tcW w:w="993" w:type="dxa"/>
            <w:shd w:val="clear" w:color="auto" w:fill="auto"/>
            <w:vAlign w:val="center"/>
          </w:tcPr>
          <w:p w14:paraId="7285111D"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36</w:t>
            </w:r>
          </w:p>
        </w:tc>
        <w:tc>
          <w:tcPr>
            <w:tcW w:w="1134" w:type="dxa"/>
            <w:shd w:val="clear" w:color="auto" w:fill="auto"/>
            <w:vAlign w:val="center"/>
          </w:tcPr>
          <w:p w14:paraId="7285111E"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137</w:t>
            </w:r>
          </w:p>
        </w:tc>
        <w:tc>
          <w:tcPr>
            <w:tcW w:w="1077" w:type="dxa"/>
            <w:shd w:val="clear" w:color="auto" w:fill="auto"/>
            <w:vAlign w:val="center"/>
          </w:tcPr>
          <w:p w14:paraId="7285111F"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20"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250</w:t>
            </w:r>
          </w:p>
        </w:tc>
        <w:tc>
          <w:tcPr>
            <w:tcW w:w="907" w:type="dxa"/>
            <w:vAlign w:val="center"/>
          </w:tcPr>
          <w:p w14:paraId="72851121"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100</w:t>
            </w:r>
          </w:p>
        </w:tc>
      </w:tr>
      <w:tr w:rsidR="005B5C58" w:rsidRPr="0021175E" w14:paraId="7285112A" w14:textId="77777777" w:rsidTr="0021175E">
        <w:trPr>
          <w:cantSplit/>
          <w:trHeight w:val="454"/>
        </w:trPr>
        <w:tc>
          <w:tcPr>
            <w:tcW w:w="3261" w:type="dxa"/>
            <w:vAlign w:val="center"/>
          </w:tcPr>
          <w:p w14:paraId="72851123" w14:textId="77777777" w:rsidR="005B5C58" w:rsidRPr="0021175E" w:rsidRDefault="005B5C58" w:rsidP="0021175E">
            <w:pPr>
              <w:pStyle w:val="Default"/>
              <w:rPr>
                <w:rFonts w:ascii="Calibri Light" w:hAnsi="Calibri Light" w:cs="Arial"/>
                <w:sz w:val="20"/>
                <w:szCs w:val="20"/>
              </w:rPr>
            </w:pPr>
            <w:r w:rsidRPr="0021175E">
              <w:rPr>
                <w:rFonts w:ascii="Calibri Light" w:hAnsi="Calibri Light" w:cs="Arial"/>
                <w:b/>
                <w:sz w:val="20"/>
                <w:szCs w:val="20"/>
              </w:rPr>
              <w:t>KAM 3.3</w:t>
            </w:r>
            <w:r w:rsidRPr="0021175E">
              <w:rPr>
                <w:rFonts w:ascii="Calibri Light" w:hAnsi="Calibri Light" w:cs="Arial"/>
                <w:sz w:val="20"/>
                <w:szCs w:val="20"/>
              </w:rPr>
              <w:t>: # TTY users introduced to mobile NRS calls including through the NRS app</w:t>
            </w:r>
          </w:p>
        </w:tc>
        <w:tc>
          <w:tcPr>
            <w:tcW w:w="992" w:type="dxa"/>
            <w:shd w:val="clear" w:color="auto" w:fill="auto"/>
            <w:vAlign w:val="center"/>
          </w:tcPr>
          <w:p w14:paraId="72851124"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14</w:t>
            </w:r>
          </w:p>
        </w:tc>
        <w:tc>
          <w:tcPr>
            <w:tcW w:w="993" w:type="dxa"/>
            <w:shd w:val="clear" w:color="auto" w:fill="auto"/>
            <w:vAlign w:val="center"/>
          </w:tcPr>
          <w:p w14:paraId="72851125"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193</w:t>
            </w:r>
          </w:p>
        </w:tc>
        <w:tc>
          <w:tcPr>
            <w:tcW w:w="1134" w:type="dxa"/>
            <w:shd w:val="clear" w:color="auto" w:fill="auto"/>
            <w:vAlign w:val="center"/>
          </w:tcPr>
          <w:p w14:paraId="72851126"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444</w:t>
            </w:r>
          </w:p>
        </w:tc>
        <w:tc>
          <w:tcPr>
            <w:tcW w:w="1077" w:type="dxa"/>
            <w:shd w:val="clear" w:color="auto" w:fill="auto"/>
            <w:vAlign w:val="center"/>
          </w:tcPr>
          <w:p w14:paraId="72851127"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28"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651</w:t>
            </w:r>
          </w:p>
        </w:tc>
        <w:tc>
          <w:tcPr>
            <w:tcW w:w="907" w:type="dxa"/>
            <w:vAlign w:val="center"/>
          </w:tcPr>
          <w:p w14:paraId="72851129"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115</w:t>
            </w:r>
          </w:p>
        </w:tc>
      </w:tr>
    </w:tbl>
    <w:p w14:paraId="7285112B" w14:textId="77777777" w:rsidR="006B3774" w:rsidRDefault="006B3774" w:rsidP="00076137">
      <w:pPr>
        <w:rPr>
          <w:rFonts w:asciiTheme="majorHAnsi" w:hAnsiTheme="majorHAnsi"/>
        </w:rPr>
      </w:pPr>
    </w:p>
    <w:p w14:paraId="7285112C" w14:textId="7F1E30C2" w:rsidR="005B5C58" w:rsidRPr="00333144" w:rsidRDefault="005B5C58" w:rsidP="00333144">
      <w:pPr>
        <w:rPr>
          <w:rFonts w:asciiTheme="majorHAnsi" w:hAnsiTheme="majorHAnsi"/>
        </w:rPr>
      </w:pPr>
      <w:r w:rsidRPr="00333144">
        <w:rPr>
          <w:rFonts w:asciiTheme="majorHAnsi" w:hAnsiTheme="majorHAnsi"/>
        </w:rPr>
        <w:t xml:space="preserve">Optus formally engaged with the Relay Service Friendly Programme (RSF) in Quarter 3, </w:t>
      </w:r>
      <w:r w:rsidR="0030427B">
        <w:rPr>
          <w:rFonts w:asciiTheme="majorHAnsi" w:hAnsiTheme="majorHAnsi"/>
        </w:rPr>
        <w:t>2015–16</w:t>
      </w:r>
      <w:r w:rsidRPr="00333144">
        <w:rPr>
          <w:rFonts w:asciiTheme="majorHAnsi" w:hAnsiTheme="majorHAnsi"/>
        </w:rPr>
        <w:t xml:space="preserve">, completing Steps 1 &amp; 2 of the Programme. </w:t>
      </w:r>
    </w:p>
    <w:p w14:paraId="7285112D" w14:textId="06A4AFBB" w:rsidR="005B5C58" w:rsidRPr="00333144" w:rsidRDefault="005B5C58" w:rsidP="00333144">
      <w:pPr>
        <w:rPr>
          <w:rFonts w:asciiTheme="majorHAnsi" w:hAnsiTheme="majorHAnsi"/>
        </w:rPr>
      </w:pPr>
      <w:r w:rsidRPr="00333144">
        <w:rPr>
          <w:rFonts w:asciiTheme="majorHAnsi" w:hAnsiTheme="majorHAnsi"/>
        </w:rPr>
        <w:t>Outreach also engaged with several other major organisation regarding their participation in the RSF Programme—the Department of Human Services, Telstra, Suncorp (AAMI), the</w:t>
      </w:r>
      <w:r w:rsidR="00155ABE">
        <w:rPr>
          <w:rFonts w:asciiTheme="majorHAnsi" w:hAnsiTheme="majorHAnsi"/>
        </w:rPr>
        <w:t xml:space="preserve"> Commonwealth Bank of Australia</w:t>
      </w:r>
      <w:r w:rsidRPr="00333144">
        <w:rPr>
          <w:rFonts w:asciiTheme="majorHAnsi" w:hAnsiTheme="majorHAnsi"/>
        </w:rPr>
        <w:t xml:space="preserve"> and the Australian Taxation Office (KAM 1.1). However, as these are large organisations with complex structures, securing approval for RSF programme participation often involves various decision-makers across multiple departments and can be a lengthy process.</w:t>
      </w:r>
    </w:p>
    <w:p w14:paraId="7285112E" w14:textId="68836507" w:rsidR="005B5C58" w:rsidRPr="00333144" w:rsidRDefault="005B5C58" w:rsidP="00333144">
      <w:pPr>
        <w:rPr>
          <w:rFonts w:asciiTheme="majorHAnsi" w:hAnsiTheme="majorHAnsi"/>
        </w:rPr>
      </w:pPr>
      <w:r w:rsidRPr="00333144">
        <w:rPr>
          <w:rFonts w:asciiTheme="majorHAnsi" w:hAnsiTheme="majorHAnsi"/>
        </w:rPr>
        <w:t>KAM 2.1 and 2.4 are reliant on the development of the NRS Call Tutorial which is d</w:t>
      </w:r>
      <w:r w:rsidR="0030427B">
        <w:rPr>
          <w:rFonts w:asciiTheme="majorHAnsi" w:hAnsiTheme="majorHAnsi"/>
        </w:rPr>
        <w:t>ue for deployment in Quarter 4.</w:t>
      </w:r>
    </w:p>
    <w:p w14:paraId="7285112F" w14:textId="77777777" w:rsidR="00333144" w:rsidRPr="00333144" w:rsidRDefault="00333144" w:rsidP="00333144">
      <w:pPr>
        <w:rPr>
          <w:rFonts w:asciiTheme="majorHAnsi" w:hAnsiTheme="majorHAnsi" w:cs="Arial"/>
          <w:bCs/>
        </w:rPr>
      </w:pPr>
      <w:r w:rsidRPr="00333144">
        <w:rPr>
          <w:rFonts w:asciiTheme="majorHAnsi" w:hAnsiTheme="majorHAnsi" w:cs="Arial"/>
          <w:bCs/>
        </w:rPr>
        <w:t>KAM 2.3: is a project that is due for completion by 30 June 2016.</w:t>
      </w:r>
    </w:p>
    <w:p w14:paraId="72851130" w14:textId="6A1DFD92" w:rsidR="005B5C58" w:rsidRPr="00333144" w:rsidRDefault="005B5C58" w:rsidP="00333144">
      <w:pPr>
        <w:rPr>
          <w:rFonts w:asciiTheme="majorHAnsi" w:hAnsiTheme="majorHAnsi" w:cs="Arial"/>
          <w:bCs/>
        </w:rPr>
      </w:pPr>
      <w:r w:rsidRPr="00333144">
        <w:rPr>
          <w:rFonts w:asciiTheme="majorHAnsi" w:hAnsiTheme="majorHAnsi"/>
        </w:rPr>
        <w:t xml:space="preserve">KAM 3.3 is a key priority for the Outreach service in </w:t>
      </w:r>
      <w:r w:rsidR="0030427B">
        <w:rPr>
          <w:rFonts w:asciiTheme="majorHAnsi" w:hAnsiTheme="majorHAnsi"/>
        </w:rPr>
        <w:t>2015–16</w:t>
      </w:r>
      <w:r w:rsidRPr="00333144">
        <w:rPr>
          <w:rFonts w:asciiTheme="majorHAnsi" w:hAnsiTheme="majorHAnsi"/>
        </w:rPr>
        <w:t>, involving activities which expose and encourage existing TTY users to mobile NRS call options, including the NRS app. This was provided to a total of 444 TTY users in Quarter 3 via targeted training and awareness sessions. This is a 130% increase from Quarter 2, primarily due to two large training sessions at TAFE NSW Tamworth and Men’s Shed group sessions which accounted for 30% of the participants.</w:t>
      </w:r>
    </w:p>
    <w:p w14:paraId="72851131" w14:textId="77777777" w:rsidR="005B5C58" w:rsidRPr="00076137" w:rsidRDefault="005B5C58" w:rsidP="00401079">
      <w:pPr>
        <w:pStyle w:val="Heading3"/>
        <w:pageBreakBefore/>
      </w:pPr>
      <w:r w:rsidRPr="00076137">
        <w:rPr>
          <w:rStyle w:val="Strong"/>
          <w:b/>
          <w:bCs w:val="0"/>
        </w:rPr>
        <w:t>Outreach service provider performance against Key Performance Indicators (KPIs)</w:t>
      </w:r>
    </w:p>
    <w:tbl>
      <w:tblPr>
        <w:tblStyle w:val="TableGrid"/>
        <w:tblW w:w="9184" w:type="dxa"/>
        <w:tblBorders>
          <w:top w:val="none" w:sz="0" w:space="0" w:color="auto"/>
          <w:left w:val="none" w:sz="0" w:space="0" w:color="auto"/>
          <w:right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Description w:val="Outreach service provider performance against Key Performance Indicators."/>
      </w:tblPr>
      <w:tblGrid>
        <w:gridCol w:w="2835"/>
        <w:gridCol w:w="907"/>
        <w:gridCol w:w="907"/>
        <w:gridCol w:w="907"/>
        <w:gridCol w:w="907"/>
        <w:gridCol w:w="907"/>
        <w:gridCol w:w="907"/>
        <w:gridCol w:w="907"/>
      </w:tblGrid>
      <w:tr w:rsidR="005B5C58" w:rsidRPr="0021175E" w14:paraId="7285113A" w14:textId="77777777" w:rsidTr="00AC66DF">
        <w:trPr>
          <w:cantSplit/>
          <w:trHeight w:val="454"/>
          <w:tblHeader/>
        </w:trPr>
        <w:tc>
          <w:tcPr>
            <w:tcW w:w="2835" w:type="dxa"/>
            <w:vAlign w:val="center"/>
          </w:tcPr>
          <w:p w14:paraId="72851132" w14:textId="77777777" w:rsidR="005B5C58" w:rsidRPr="0021175E" w:rsidRDefault="005B5C58" w:rsidP="0021175E">
            <w:pPr>
              <w:keepNext/>
              <w:spacing w:after="0"/>
              <w:rPr>
                <w:rFonts w:ascii="Calibri Light" w:hAnsi="Calibri Light" w:cs="Arial"/>
                <w:sz w:val="20"/>
                <w:szCs w:val="20"/>
              </w:rPr>
            </w:pPr>
          </w:p>
        </w:tc>
        <w:tc>
          <w:tcPr>
            <w:tcW w:w="907" w:type="dxa"/>
            <w:shd w:val="clear" w:color="auto" w:fill="auto"/>
            <w:vAlign w:val="center"/>
          </w:tcPr>
          <w:p w14:paraId="72851133" w14:textId="37C6944A"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Q1</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907" w:type="dxa"/>
            <w:shd w:val="clear" w:color="auto" w:fill="auto"/>
            <w:vAlign w:val="center"/>
          </w:tcPr>
          <w:p w14:paraId="72851134" w14:textId="541BBE32"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 xml:space="preserve">Q2 </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907" w:type="dxa"/>
            <w:shd w:val="clear" w:color="auto" w:fill="auto"/>
            <w:vAlign w:val="center"/>
          </w:tcPr>
          <w:p w14:paraId="72851135" w14:textId="3E4FB55F"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Q3</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907" w:type="dxa"/>
            <w:shd w:val="clear" w:color="auto" w:fill="auto"/>
            <w:vAlign w:val="center"/>
          </w:tcPr>
          <w:p w14:paraId="72851136" w14:textId="4837D734"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Q4</w:t>
            </w:r>
            <w:r w:rsidRPr="0021175E">
              <w:rPr>
                <w:rFonts w:ascii="Calibri Light" w:hAnsi="Calibri Light" w:cs="Arial"/>
                <w:b/>
                <w:sz w:val="20"/>
                <w:szCs w:val="20"/>
              </w:rPr>
              <w:br/>
            </w:r>
            <w:r w:rsidR="0030427B" w:rsidRPr="0021175E">
              <w:rPr>
                <w:rFonts w:ascii="Calibri Light" w:hAnsi="Calibri Light" w:cs="Arial"/>
                <w:b/>
                <w:sz w:val="20"/>
                <w:szCs w:val="20"/>
              </w:rPr>
              <w:t>2015–16</w:t>
            </w:r>
          </w:p>
        </w:tc>
        <w:tc>
          <w:tcPr>
            <w:tcW w:w="907" w:type="dxa"/>
            <w:shd w:val="clear" w:color="auto" w:fill="auto"/>
            <w:vAlign w:val="center"/>
          </w:tcPr>
          <w:p w14:paraId="72851137" w14:textId="4A520E4F"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Actual Activity</w:t>
            </w:r>
            <w:r w:rsidR="0030427B" w:rsidRPr="0021175E">
              <w:rPr>
                <w:rFonts w:ascii="Calibri Light" w:hAnsi="Calibri Light" w:cs="Arial"/>
                <w:b/>
                <w:sz w:val="20"/>
                <w:szCs w:val="20"/>
              </w:rPr>
              <w:t xml:space="preserve"> </w:t>
            </w:r>
            <w:r w:rsidRPr="0021175E">
              <w:rPr>
                <w:rFonts w:ascii="Calibri Light" w:hAnsi="Calibri Light" w:cs="Arial"/>
                <w:b/>
                <w:sz w:val="20"/>
                <w:szCs w:val="20"/>
              </w:rPr>
              <w:t xml:space="preserve"> YTD</w:t>
            </w:r>
          </w:p>
        </w:tc>
        <w:tc>
          <w:tcPr>
            <w:tcW w:w="907" w:type="dxa"/>
            <w:vAlign w:val="center"/>
          </w:tcPr>
          <w:p w14:paraId="72851138"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KPI</w:t>
            </w:r>
            <w:r w:rsidRPr="0021175E">
              <w:rPr>
                <w:rFonts w:ascii="Calibri Light" w:hAnsi="Calibri Light" w:cs="Arial"/>
                <w:b/>
                <w:sz w:val="20"/>
                <w:szCs w:val="20"/>
              </w:rPr>
              <w:br/>
              <w:t>Annual Target</w:t>
            </w:r>
          </w:p>
        </w:tc>
        <w:tc>
          <w:tcPr>
            <w:tcW w:w="907" w:type="dxa"/>
            <w:vAlign w:val="center"/>
          </w:tcPr>
          <w:p w14:paraId="72851139"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 Actual Activity against Anticipated</w:t>
            </w:r>
          </w:p>
        </w:tc>
      </w:tr>
      <w:tr w:rsidR="005B5C58" w:rsidRPr="0021175E" w14:paraId="72851143" w14:textId="77777777" w:rsidTr="00AC66DF">
        <w:trPr>
          <w:cantSplit/>
          <w:trHeight w:val="454"/>
        </w:trPr>
        <w:tc>
          <w:tcPr>
            <w:tcW w:w="2835" w:type="dxa"/>
            <w:vAlign w:val="center"/>
          </w:tcPr>
          <w:p w14:paraId="7285113B"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KPI 1.1: Number of participants at Awareness Sessions</w:t>
            </w:r>
          </w:p>
        </w:tc>
        <w:tc>
          <w:tcPr>
            <w:tcW w:w="907" w:type="dxa"/>
            <w:shd w:val="clear" w:color="auto" w:fill="auto"/>
            <w:vAlign w:val="center"/>
          </w:tcPr>
          <w:p w14:paraId="7285113C"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860</w:t>
            </w:r>
          </w:p>
        </w:tc>
        <w:tc>
          <w:tcPr>
            <w:tcW w:w="907" w:type="dxa"/>
            <w:shd w:val="clear" w:color="auto" w:fill="auto"/>
            <w:vAlign w:val="center"/>
          </w:tcPr>
          <w:p w14:paraId="7285113D"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807</w:t>
            </w:r>
          </w:p>
        </w:tc>
        <w:tc>
          <w:tcPr>
            <w:tcW w:w="907" w:type="dxa"/>
            <w:shd w:val="clear" w:color="auto" w:fill="auto"/>
            <w:vAlign w:val="center"/>
          </w:tcPr>
          <w:p w14:paraId="7285113E"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637</w:t>
            </w:r>
          </w:p>
        </w:tc>
        <w:tc>
          <w:tcPr>
            <w:tcW w:w="907" w:type="dxa"/>
            <w:shd w:val="clear" w:color="auto" w:fill="auto"/>
            <w:vAlign w:val="center"/>
          </w:tcPr>
          <w:p w14:paraId="7285113F"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40"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2,304</w:t>
            </w:r>
          </w:p>
        </w:tc>
        <w:tc>
          <w:tcPr>
            <w:tcW w:w="907" w:type="dxa"/>
            <w:vAlign w:val="center"/>
          </w:tcPr>
          <w:p w14:paraId="72851141"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1,500</w:t>
            </w:r>
          </w:p>
        </w:tc>
        <w:tc>
          <w:tcPr>
            <w:tcW w:w="907" w:type="dxa"/>
            <w:vAlign w:val="center"/>
          </w:tcPr>
          <w:p w14:paraId="72851142"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154%</w:t>
            </w:r>
          </w:p>
        </w:tc>
      </w:tr>
      <w:tr w:rsidR="005B5C58" w:rsidRPr="0021175E" w14:paraId="7285114C" w14:textId="77777777" w:rsidTr="00AC66DF">
        <w:trPr>
          <w:cantSplit/>
          <w:trHeight w:val="454"/>
        </w:trPr>
        <w:tc>
          <w:tcPr>
            <w:tcW w:w="2835" w:type="dxa"/>
            <w:vAlign w:val="center"/>
          </w:tcPr>
          <w:p w14:paraId="72851144"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KPI 1.2: Number of promotion/conference events (National)</w:t>
            </w:r>
          </w:p>
        </w:tc>
        <w:tc>
          <w:tcPr>
            <w:tcW w:w="907" w:type="dxa"/>
            <w:shd w:val="clear" w:color="auto" w:fill="auto"/>
            <w:vAlign w:val="center"/>
          </w:tcPr>
          <w:p w14:paraId="72851145"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2</w:t>
            </w:r>
          </w:p>
        </w:tc>
        <w:tc>
          <w:tcPr>
            <w:tcW w:w="907" w:type="dxa"/>
            <w:shd w:val="clear" w:color="auto" w:fill="auto"/>
            <w:vAlign w:val="center"/>
          </w:tcPr>
          <w:p w14:paraId="72851146"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6</w:t>
            </w:r>
          </w:p>
        </w:tc>
        <w:tc>
          <w:tcPr>
            <w:tcW w:w="907" w:type="dxa"/>
            <w:shd w:val="clear" w:color="auto" w:fill="auto"/>
            <w:vAlign w:val="center"/>
          </w:tcPr>
          <w:p w14:paraId="72851147"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0</w:t>
            </w:r>
          </w:p>
        </w:tc>
        <w:tc>
          <w:tcPr>
            <w:tcW w:w="907" w:type="dxa"/>
            <w:shd w:val="clear" w:color="auto" w:fill="auto"/>
            <w:vAlign w:val="center"/>
          </w:tcPr>
          <w:p w14:paraId="72851148"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49"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8</w:t>
            </w:r>
          </w:p>
        </w:tc>
        <w:tc>
          <w:tcPr>
            <w:tcW w:w="907" w:type="dxa"/>
            <w:vAlign w:val="center"/>
          </w:tcPr>
          <w:p w14:paraId="7285114A"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 xml:space="preserve">8 </w:t>
            </w:r>
          </w:p>
        </w:tc>
        <w:tc>
          <w:tcPr>
            <w:tcW w:w="907" w:type="dxa"/>
            <w:vAlign w:val="center"/>
          </w:tcPr>
          <w:p w14:paraId="7285114B"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100%</w:t>
            </w:r>
          </w:p>
        </w:tc>
      </w:tr>
      <w:tr w:rsidR="005B5C58" w:rsidRPr="0021175E" w14:paraId="72851155" w14:textId="77777777" w:rsidTr="00AC66DF">
        <w:trPr>
          <w:cantSplit/>
          <w:trHeight w:val="454"/>
        </w:trPr>
        <w:tc>
          <w:tcPr>
            <w:tcW w:w="2835" w:type="dxa"/>
            <w:vAlign w:val="center"/>
          </w:tcPr>
          <w:p w14:paraId="7285114D" w14:textId="77777777" w:rsidR="005B5C58" w:rsidRPr="0021175E" w:rsidRDefault="005B5C58" w:rsidP="0021175E">
            <w:pPr>
              <w:keepNext/>
              <w:spacing w:after="0"/>
              <w:rPr>
                <w:rFonts w:ascii="Calibri Light" w:hAnsi="Calibri Light" w:cs="Arial"/>
                <w:b/>
                <w:sz w:val="20"/>
                <w:szCs w:val="20"/>
              </w:rPr>
            </w:pPr>
            <w:r w:rsidRPr="0021175E">
              <w:rPr>
                <w:rFonts w:ascii="Calibri Light" w:hAnsi="Calibri Light" w:cs="Arial"/>
                <w:b/>
                <w:sz w:val="20"/>
                <w:szCs w:val="20"/>
              </w:rPr>
              <w:t>KPI 2.1: Number of training sessions</w:t>
            </w:r>
          </w:p>
        </w:tc>
        <w:tc>
          <w:tcPr>
            <w:tcW w:w="907" w:type="dxa"/>
            <w:shd w:val="clear" w:color="auto" w:fill="auto"/>
            <w:vAlign w:val="center"/>
          </w:tcPr>
          <w:p w14:paraId="7285114E"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106</w:t>
            </w:r>
          </w:p>
        </w:tc>
        <w:tc>
          <w:tcPr>
            <w:tcW w:w="907" w:type="dxa"/>
            <w:shd w:val="clear" w:color="auto" w:fill="auto"/>
            <w:vAlign w:val="center"/>
          </w:tcPr>
          <w:p w14:paraId="7285114F"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134</w:t>
            </w:r>
          </w:p>
        </w:tc>
        <w:tc>
          <w:tcPr>
            <w:tcW w:w="907" w:type="dxa"/>
            <w:shd w:val="clear" w:color="auto" w:fill="auto"/>
            <w:vAlign w:val="center"/>
          </w:tcPr>
          <w:p w14:paraId="72851150"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125</w:t>
            </w:r>
          </w:p>
        </w:tc>
        <w:tc>
          <w:tcPr>
            <w:tcW w:w="907" w:type="dxa"/>
            <w:shd w:val="clear" w:color="auto" w:fill="auto"/>
            <w:vAlign w:val="center"/>
          </w:tcPr>
          <w:p w14:paraId="72851151"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52"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365</w:t>
            </w:r>
          </w:p>
        </w:tc>
        <w:tc>
          <w:tcPr>
            <w:tcW w:w="907" w:type="dxa"/>
            <w:vAlign w:val="center"/>
          </w:tcPr>
          <w:p w14:paraId="72851153"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380</w:t>
            </w:r>
          </w:p>
        </w:tc>
        <w:tc>
          <w:tcPr>
            <w:tcW w:w="907" w:type="dxa"/>
            <w:vAlign w:val="center"/>
          </w:tcPr>
          <w:p w14:paraId="72851154"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96%</w:t>
            </w:r>
          </w:p>
        </w:tc>
      </w:tr>
      <w:tr w:rsidR="005B5C58" w:rsidRPr="0021175E" w14:paraId="7285115E" w14:textId="77777777" w:rsidTr="00AC66DF">
        <w:trPr>
          <w:cantSplit/>
          <w:trHeight w:val="454"/>
        </w:trPr>
        <w:tc>
          <w:tcPr>
            <w:tcW w:w="2835" w:type="dxa"/>
            <w:vAlign w:val="center"/>
          </w:tcPr>
          <w:p w14:paraId="72851156"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 xml:space="preserve">KPI 3.1: Number of orgs commencing Relay Service Friendly Program (RSFP) </w:t>
            </w:r>
          </w:p>
        </w:tc>
        <w:tc>
          <w:tcPr>
            <w:tcW w:w="907" w:type="dxa"/>
            <w:shd w:val="clear" w:color="auto" w:fill="auto"/>
            <w:vAlign w:val="center"/>
          </w:tcPr>
          <w:p w14:paraId="72851157"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9</w:t>
            </w:r>
          </w:p>
        </w:tc>
        <w:tc>
          <w:tcPr>
            <w:tcW w:w="907" w:type="dxa"/>
            <w:shd w:val="clear" w:color="auto" w:fill="auto"/>
            <w:vAlign w:val="center"/>
          </w:tcPr>
          <w:p w14:paraId="72851158"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12</w:t>
            </w:r>
          </w:p>
        </w:tc>
        <w:tc>
          <w:tcPr>
            <w:tcW w:w="907" w:type="dxa"/>
            <w:shd w:val="clear" w:color="auto" w:fill="auto"/>
            <w:vAlign w:val="center"/>
          </w:tcPr>
          <w:p w14:paraId="72851159"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14</w:t>
            </w:r>
          </w:p>
        </w:tc>
        <w:tc>
          <w:tcPr>
            <w:tcW w:w="907" w:type="dxa"/>
            <w:shd w:val="clear" w:color="auto" w:fill="auto"/>
            <w:vAlign w:val="center"/>
          </w:tcPr>
          <w:p w14:paraId="7285115A"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5B"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35</w:t>
            </w:r>
          </w:p>
        </w:tc>
        <w:tc>
          <w:tcPr>
            <w:tcW w:w="907" w:type="dxa"/>
            <w:vAlign w:val="center"/>
          </w:tcPr>
          <w:p w14:paraId="7285115C"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70</w:t>
            </w:r>
          </w:p>
        </w:tc>
        <w:tc>
          <w:tcPr>
            <w:tcW w:w="907" w:type="dxa"/>
            <w:vAlign w:val="center"/>
          </w:tcPr>
          <w:p w14:paraId="7285115D"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50%</w:t>
            </w:r>
          </w:p>
        </w:tc>
      </w:tr>
      <w:tr w:rsidR="005B5C58" w:rsidRPr="0021175E" w14:paraId="72851167" w14:textId="77777777" w:rsidTr="00AC66DF">
        <w:trPr>
          <w:cantSplit/>
          <w:trHeight w:val="454"/>
        </w:trPr>
        <w:tc>
          <w:tcPr>
            <w:tcW w:w="2835" w:type="dxa"/>
            <w:vAlign w:val="center"/>
          </w:tcPr>
          <w:p w14:paraId="7285115F"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 xml:space="preserve">KPI 3.2: Number of orgs completing the training step within RSFP </w:t>
            </w:r>
          </w:p>
        </w:tc>
        <w:tc>
          <w:tcPr>
            <w:tcW w:w="907" w:type="dxa"/>
            <w:shd w:val="clear" w:color="auto" w:fill="auto"/>
            <w:vAlign w:val="center"/>
          </w:tcPr>
          <w:p w14:paraId="72851160"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8</w:t>
            </w:r>
          </w:p>
        </w:tc>
        <w:tc>
          <w:tcPr>
            <w:tcW w:w="907" w:type="dxa"/>
            <w:shd w:val="clear" w:color="auto" w:fill="auto"/>
            <w:vAlign w:val="center"/>
          </w:tcPr>
          <w:p w14:paraId="72851161"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10</w:t>
            </w:r>
          </w:p>
        </w:tc>
        <w:tc>
          <w:tcPr>
            <w:tcW w:w="907" w:type="dxa"/>
            <w:shd w:val="clear" w:color="auto" w:fill="auto"/>
            <w:vAlign w:val="center"/>
          </w:tcPr>
          <w:p w14:paraId="72851162"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6</w:t>
            </w:r>
          </w:p>
        </w:tc>
        <w:tc>
          <w:tcPr>
            <w:tcW w:w="907" w:type="dxa"/>
            <w:shd w:val="clear" w:color="auto" w:fill="auto"/>
            <w:vAlign w:val="center"/>
          </w:tcPr>
          <w:p w14:paraId="72851163" w14:textId="77777777" w:rsidR="005B5C58" w:rsidRPr="0021175E" w:rsidRDefault="005B5C58" w:rsidP="0021175E">
            <w:pPr>
              <w:keepNext/>
              <w:spacing w:after="0"/>
              <w:jc w:val="center"/>
              <w:rPr>
                <w:rFonts w:ascii="Calibri Light" w:hAnsi="Calibri Light" w:cs="Arial"/>
                <w:sz w:val="20"/>
                <w:szCs w:val="20"/>
              </w:rPr>
            </w:pPr>
          </w:p>
        </w:tc>
        <w:tc>
          <w:tcPr>
            <w:tcW w:w="907" w:type="dxa"/>
            <w:shd w:val="clear" w:color="auto" w:fill="auto"/>
            <w:vAlign w:val="center"/>
          </w:tcPr>
          <w:p w14:paraId="72851164"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24</w:t>
            </w:r>
          </w:p>
        </w:tc>
        <w:tc>
          <w:tcPr>
            <w:tcW w:w="907" w:type="dxa"/>
            <w:vAlign w:val="center"/>
          </w:tcPr>
          <w:p w14:paraId="72851165"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23</w:t>
            </w:r>
          </w:p>
        </w:tc>
        <w:tc>
          <w:tcPr>
            <w:tcW w:w="907" w:type="dxa"/>
            <w:vAlign w:val="center"/>
          </w:tcPr>
          <w:p w14:paraId="72851166"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104%</w:t>
            </w:r>
          </w:p>
        </w:tc>
      </w:tr>
      <w:tr w:rsidR="005B5C58" w:rsidRPr="0021175E" w14:paraId="72851170" w14:textId="77777777" w:rsidTr="00AC66DF">
        <w:trPr>
          <w:cantSplit/>
          <w:trHeight w:val="454"/>
        </w:trPr>
        <w:tc>
          <w:tcPr>
            <w:tcW w:w="2835" w:type="dxa"/>
            <w:vAlign w:val="center"/>
          </w:tcPr>
          <w:p w14:paraId="72851168" w14:textId="77777777" w:rsidR="005B5C58" w:rsidRPr="0021175E" w:rsidRDefault="005B5C58" w:rsidP="0021175E">
            <w:pPr>
              <w:pStyle w:val="Default"/>
              <w:keepNext/>
              <w:rPr>
                <w:rFonts w:ascii="Calibri Light" w:hAnsi="Calibri Light" w:cs="Arial"/>
                <w:b/>
                <w:sz w:val="20"/>
                <w:szCs w:val="20"/>
              </w:rPr>
            </w:pPr>
            <w:r w:rsidRPr="0021175E">
              <w:rPr>
                <w:rFonts w:ascii="Calibri Light" w:hAnsi="Calibri Light" w:cs="Arial"/>
                <w:b/>
                <w:sz w:val="20"/>
                <w:szCs w:val="20"/>
              </w:rPr>
              <w:t xml:space="preserve">KPI 3.4: Number of contact centres involved in Hearing Awareness Week (HAW) 2015 </w:t>
            </w:r>
          </w:p>
        </w:tc>
        <w:tc>
          <w:tcPr>
            <w:tcW w:w="907" w:type="dxa"/>
            <w:shd w:val="clear" w:color="auto" w:fill="auto"/>
            <w:vAlign w:val="center"/>
          </w:tcPr>
          <w:p w14:paraId="72851169"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295</w:t>
            </w:r>
          </w:p>
        </w:tc>
        <w:tc>
          <w:tcPr>
            <w:tcW w:w="907" w:type="dxa"/>
            <w:shd w:val="clear" w:color="auto" w:fill="auto"/>
            <w:vAlign w:val="center"/>
          </w:tcPr>
          <w:p w14:paraId="7285116A"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07" w:type="dxa"/>
            <w:shd w:val="clear" w:color="auto" w:fill="auto"/>
            <w:vAlign w:val="center"/>
          </w:tcPr>
          <w:p w14:paraId="7285116B"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07" w:type="dxa"/>
            <w:shd w:val="clear" w:color="auto" w:fill="auto"/>
            <w:vAlign w:val="center"/>
          </w:tcPr>
          <w:p w14:paraId="7285116C"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07" w:type="dxa"/>
            <w:shd w:val="clear" w:color="auto" w:fill="auto"/>
            <w:vAlign w:val="center"/>
          </w:tcPr>
          <w:p w14:paraId="7285116D"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295</w:t>
            </w:r>
          </w:p>
        </w:tc>
        <w:tc>
          <w:tcPr>
            <w:tcW w:w="907" w:type="dxa"/>
            <w:vAlign w:val="center"/>
          </w:tcPr>
          <w:p w14:paraId="7285116E"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250</w:t>
            </w:r>
          </w:p>
        </w:tc>
        <w:tc>
          <w:tcPr>
            <w:tcW w:w="907" w:type="dxa"/>
            <w:vAlign w:val="center"/>
          </w:tcPr>
          <w:p w14:paraId="7285116F"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118%</w:t>
            </w:r>
          </w:p>
        </w:tc>
      </w:tr>
      <w:tr w:rsidR="005B5C58" w:rsidRPr="0021175E" w14:paraId="72851179" w14:textId="77777777" w:rsidTr="00AC66DF">
        <w:trPr>
          <w:cantSplit/>
          <w:trHeight w:val="454"/>
        </w:trPr>
        <w:tc>
          <w:tcPr>
            <w:tcW w:w="2835" w:type="dxa"/>
            <w:vAlign w:val="center"/>
          </w:tcPr>
          <w:p w14:paraId="72851171" w14:textId="77777777" w:rsidR="005B5C58" w:rsidRPr="0021175E" w:rsidRDefault="005B5C58" w:rsidP="0021175E">
            <w:pPr>
              <w:pStyle w:val="Default"/>
              <w:rPr>
                <w:rFonts w:ascii="Calibri Light" w:hAnsi="Calibri Light" w:cs="Arial"/>
                <w:b/>
                <w:sz w:val="20"/>
                <w:szCs w:val="20"/>
              </w:rPr>
            </w:pPr>
            <w:r w:rsidRPr="0021175E">
              <w:rPr>
                <w:rFonts w:ascii="Calibri Light" w:hAnsi="Calibri Light" w:cs="Arial"/>
                <w:b/>
                <w:sz w:val="20"/>
                <w:szCs w:val="20"/>
              </w:rPr>
              <w:t xml:space="preserve">KPI 3.5: Number of contact centre agents involved in HAW 2015 </w:t>
            </w:r>
          </w:p>
        </w:tc>
        <w:tc>
          <w:tcPr>
            <w:tcW w:w="907" w:type="dxa"/>
            <w:shd w:val="clear" w:color="auto" w:fill="auto"/>
            <w:vAlign w:val="center"/>
          </w:tcPr>
          <w:p w14:paraId="72851172"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50,198</w:t>
            </w:r>
          </w:p>
        </w:tc>
        <w:tc>
          <w:tcPr>
            <w:tcW w:w="907" w:type="dxa"/>
            <w:shd w:val="clear" w:color="auto" w:fill="auto"/>
            <w:vAlign w:val="center"/>
          </w:tcPr>
          <w:p w14:paraId="72851173"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07" w:type="dxa"/>
            <w:shd w:val="clear" w:color="auto" w:fill="auto"/>
            <w:vAlign w:val="center"/>
          </w:tcPr>
          <w:p w14:paraId="72851174"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07" w:type="dxa"/>
            <w:shd w:val="clear" w:color="auto" w:fill="auto"/>
            <w:vAlign w:val="center"/>
          </w:tcPr>
          <w:p w14:paraId="72851175" w14:textId="77777777" w:rsidR="005B5C58" w:rsidRPr="0021175E" w:rsidRDefault="005B5C58" w:rsidP="0021175E">
            <w:pPr>
              <w:keepNext/>
              <w:spacing w:after="0"/>
              <w:jc w:val="center"/>
              <w:rPr>
                <w:rFonts w:ascii="Calibri Light" w:hAnsi="Calibri Light" w:cs="Arial"/>
                <w:sz w:val="20"/>
                <w:szCs w:val="20"/>
              </w:rPr>
            </w:pPr>
            <w:r w:rsidRPr="0021175E">
              <w:rPr>
                <w:rFonts w:ascii="Calibri Light" w:hAnsi="Calibri Light" w:cs="Arial"/>
                <w:sz w:val="20"/>
                <w:szCs w:val="20"/>
              </w:rPr>
              <w:t>N/A</w:t>
            </w:r>
          </w:p>
        </w:tc>
        <w:tc>
          <w:tcPr>
            <w:tcW w:w="907" w:type="dxa"/>
            <w:shd w:val="clear" w:color="auto" w:fill="auto"/>
            <w:vAlign w:val="center"/>
          </w:tcPr>
          <w:p w14:paraId="72851176"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50,198</w:t>
            </w:r>
          </w:p>
        </w:tc>
        <w:tc>
          <w:tcPr>
            <w:tcW w:w="907" w:type="dxa"/>
            <w:vAlign w:val="center"/>
          </w:tcPr>
          <w:p w14:paraId="72851177"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30,000</w:t>
            </w:r>
          </w:p>
        </w:tc>
        <w:tc>
          <w:tcPr>
            <w:tcW w:w="907" w:type="dxa"/>
            <w:vAlign w:val="center"/>
          </w:tcPr>
          <w:p w14:paraId="72851178" w14:textId="77777777" w:rsidR="005B5C58" w:rsidRPr="0021175E" w:rsidRDefault="005B5C58" w:rsidP="0021175E">
            <w:pPr>
              <w:keepNext/>
              <w:spacing w:after="0"/>
              <w:jc w:val="center"/>
              <w:rPr>
                <w:rFonts w:ascii="Calibri Light" w:hAnsi="Calibri Light" w:cs="Arial"/>
                <w:b/>
                <w:sz w:val="20"/>
                <w:szCs w:val="20"/>
              </w:rPr>
            </w:pPr>
            <w:r w:rsidRPr="0021175E">
              <w:rPr>
                <w:rFonts w:ascii="Calibri Light" w:hAnsi="Calibri Light" w:cs="Arial"/>
                <w:b/>
                <w:sz w:val="20"/>
                <w:szCs w:val="20"/>
              </w:rPr>
              <w:t>167%</w:t>
            </w:r>
          </w:p>
        </w:tc>
      </w:tr>
    </w:tbl>
    <w:p w14:paraId="7285117A" w14:textId="77777777" w:rsidR="00076137" w:rsidRDefault="00076137" w:rsidP="00076137">
      <w:pPr>
        <w:rPr>
          <w:rFonts w:asciiTheme="majorHAnsi" w:hAnsiTheme="majorHAnsi"/>
        </w:rPr>
      </w:pPr>
    </w:p>
    <w:p w14:paraId="7285117B" w14:textId="5B593AA9" w:rsidR="005B5C58" w:rsidRPr="00076137" w:rsidRDefault="005B5C58" w:rsidP="00076137">
      <w:pPr>
        <w:rPr>
          <w:rFonts w:asciiTheme="majorHAnsi" w:hAnsiTheme="majorHAnsi"/>
        </w:rPr>
      </w:pPr>
      <w:r w:rsidRPr="00076137">
        <w:rPr>
          <w:rFonts w:asciiTheme="majorHAnsi" w:hAnsiTheme="majorHAnsi"/>
        </w:rPr>
        <w:t xml:space="preserve">Outreach delivered a total of 65 Awareness Sessions in Quarter 3, </w:t>
      </w:r>
      <w:r w:rsidR="0030427B">
        <w:rPr>
          <w:rFonts w:asciiTheme="majorHAnsi" w:hAnsiTheme="majorHAnsi"/>
        </w:rPr>
        <w:t>2015–16</w:t>
      </w:r>
      <w:r w:rsidRPr="00076137">
        <w:rPr>
          <w:rFonts w:asciiTheme="majorHAnsi" w:hAnsiTheme="majorHAnsi"/>
        </w:rPr>
        <w:t xml:space="preserve"> involving a total of 637 participants. This exceeds the annual KPI 1.1 target by 54%.</w:t>
      </w:r>
    </w:p>
    <w:p w14:paraId="7285117C" w14:textId="04207457" w:rsidR="005B5C58" w:rsidRPr="00076137" w:rsidRDefault="005B5C58" w:rsidP="00076137">
      <w:pPr>
        <w:rPr>
          <w:rFonts w:asciiTheme="majorHAnsi" w:hAnsiTheme="majorHAnsi"/>
        </w:rPr>
      </w:pPr>
      <w:r w:rsidRPr="00076137">
        <w:rPr>
          <w:rFonts w:asciiTheme="majorHAnsi" w:hAnsiTheme="majorHAnsi"/>
        </w:rPr>
        <w:t xml:space="preserve">In total, 125 Training Sessions were conducted in Quarter 3, </w:t>
      </w:r>
      <w:r w:rsidR="0030427B">
        <w:rPr>
          <w:rFonts w:asciiTheme="majorHAnsi" w:hAnsiTheme="majorHAnsi"/>
        </w:rPr>
        <w:t>2015–16</w:t>
      </w:r>
      <w:r w:rsidRPr="00076137">
        <w:rPr>
          <w:rFonts w:asciiTheme="majorHAnsi" w:hAnsiTheme="majorHAnsi"/>
        </w:rPr>
        <w:t xml:space="preserve"> reaching 96% of the annual KPI 2.1 target. </w:t>
      </w:r>
    </w:p>
    <w:p w14:paraId="7285117D" w14:textId="6F9F0760" w:rsidR="005B5C58" w:rsidRPr="00076137" w:rsidRDefault="005B5C58" w:rsidP="00076137">
      <w:pPr>
        <w:rPr>
          <w:rFonts w:asciiTheme="majorHAnsi" w:hAnsiTheme="majorHAnsi"/>
        </w:rPr>
      </w:pPr>
      <w:r w:rsidRPr="00076137">
        <w:rPr>
          <w:rFonts w:asciiTheme="majorHAnsi" w:hAnsiTheme="majorHAnsi"/>
        </w:rPr>
        <w:t xml:space="preserve">14 new organisations commenced the Relay Service Ready Program during the quarter, including </w:t>
      </w:r>
      <w:proofErr w:type="spellStart"/>
      <w:r w:rsidRPr="00076137">
        <w:rPr>
          <w:rFonts w:asciiTheme="majorHAnsi" w:hAnsiTheme="majorHAnsi"/>
          <w:i/>
        </w:rPr>
        <w:t>Lendlease</w:t>
      </w:r>
      <w:proofErr w:type="spellEnd"/>
      <w:r w:rsidRPr="00076137">
        <w:rPr>
          <w:rFonts w:asciiTheme="majorHAnsi" w:hAnsiTheme="majorHAnsi"/>
          <w:i/>
        </w:rPr>
        <w:t xml:space="preserve">, WA Country Health Services, MetLife Insurance Limited, </w:t>
      </w:r>
      <w:r w:rsidRPr="00076137">
        <w:rPr>
          <w:rFonts w:asciiTheme="majorHAnsi" w:hAnsiTheme="majorHAnsi"/>
        </w:rPr>
        <w:t>and the</w:t>
      </w:r>
      <w:r w:rsidRPr="00076137">
        <w:rPr>
          <w:rFonts w:asciiTheme="majorHAnsi" w:hAnsiTheme="majorHAnsi"/>
          <w:i/>
        </w:rPr>
        <w:t xml:space="preserve"> Department of Defence.</w:t>
      </w:r>
      <w:r w:rsidR="0030427B">
        <w:rPr>
          <w:rFonts w:asciiTheme="majorHAnsi" w:hAnsiTheme="majorHAnsi"/>
        </w:rPr>
        <w:t xml:space="preserve"> (KPI 3.1).</w:t>
      </w:r>
    </w:p>
    <w:p w14:paraId="7285117E" w14:textId="045A5705" w:rsidR="005B5C58" w:rsidRPr="00076137" w:rsidRDefault="005B5C58" w:rsidP="00076137">
      <w:pPr>
        <w:rPr>
          <w:rFonts w:asciiTheme="majorHAnsi" w:hAnsiTheme="majorHAnsi"/>
        </w:rPr>
      </w:pPr>
      <w:r w:rsidRPr="00076137">
        <w:rPr>
          <w:rFonts w:asciiTheme="majorHAnsi" w:hAnsiTheme="majorHAnsi"/>
        </w:rPr>
        <w:t xml:space="preserve">Four organisations completed the RSF Programme in Quarter 3, </w:t>
      </w:r>
      <w:r w:rsidR="0030427B">
        <w:rPr>
          <w:rFonts w:asciiTheme="majorHAnsi" w:hAnsiTheme="majorHAnsi"/>
        </w:rPr>
        <w:t>2015–16</w:t>
      </w:r>
      <w:r w:rsidRPr="00076137">
        <w:rPr>
          <w:rFonts w:asciiTheme="majorHAnsi" w:hAnsiTheme="majorHAnsi"/>
        </w:rPr>
        <w:t>—</w:t>
      </w:r>
      <w:r w:rsidRPr="00076137">
        <w:rPr>
          <w:rFonts w:asciiTheme="majorHAnsi" w:hAnsiTheme="majorHAnsi"/>
          <w:i/>
        </w:rPr>
        <w:t xml:space="preserve">Real Insurance, Electoral Commission of Queensland, State Library of Victoria </w:t>
      </w:r>
      <w:r w:rsidRPr="00076137">
        <w:rPr>
          <w:rFonts w:asciiTheme="majorHAnsi" w:hAnsiTheme="majorHAnsi"/>
        </w:rPr>
        <w:t>and</w:t>
      </w:r>
      <w:r w:rsidRPr="00076137">
        <w:rPr>
          <w:rFonts w:asciiTheme="majorHAnsi" w:hAnsiTheme="majorHAnsi"/>
          <w:i/>
        </w:rPr>
        <w:t xml:space="preserve"> </w:t>
      </w:r>
      <w:proofErr w:type="spellStart"/>
      <w:r w:rsidRPr="00076137">
        <w:rPr>
          <w:rFonts w:asciiTheme="majorHAnsi" w:hAnsiTheme="majorHAnsi"/>
          <w:i/>
        </w:rPr>
        <w:t>Cootharinga</w:t>
      </w:r>
      <w:proofErr w:type="spellEnd"/>
      <w:r w:rsidRPr="00076137">
        <w:rPr>
          <w:rFonts w:asciiTheme="majorHAnsi" w:hAnsiTheme="majorHAnsi"/>
          <w:i/>
        </w:rPr>
        <w:t xml:space="preserve"> Society of North Queensland</w:t>
      </w:r>
      <w:r w:rsidRPr="00076137">
        <w:rPr>
          <w:rFonts w:asciiTheme="majorHAnsi" w:hAnsiTheme="majorHAnsi"/>
        </w:rPr>
        <w:t>. An additional six organisations are nearing c</w:t>
      </w:r>
      <w:r w:rsidR="0030427B">
        <w:rPr>
          <w:rFonts w:asciiTheme="majorHAnsi" w:hAnsiTheme="majorHAnsi"/>
        </w:rPr>
        <w:t>ompletion of the RSF Programme.</w:t>
      </w:r>
    </w:p>
    <w:p w14:paraId="7285117F" w14:textId="77777777" w:rsidR="005B5C58" w:rsidRPr="00076137" w:rsidRDefault="005B5C58" w:rsidP="00076137">
      <w:pPr>
        <w:rPr>
          <w:rFonts w:asciiTheme="majorHAnsi" w:hAnsiTheme="majorHAnsi"/>
        </w:rPr>
      </w:pPr>
      <w:r w:rsidRPr="00076137">
        <w:rPr>
          <w:rFonts w:asciiTheme="majorHAnsi" w:hAnsiTheme="majorHAnsi"/>
        </w:rPr>
        <w:t xml:space="preserve">Staff training was also delivered to six organisations, including the </w:t>
      </w:r>
      <w:r w:rsidRPr="00076137">
        <w:rPr>
          <w:rFonts w:asciiTheme="majorHAnsi" w:hAnsiTheme="majorHAnsi"/>
          <w:i/>
        </w:rPr>
        <w:t>Insurance Commission of Western Australia</w:t>
      </w:r>
      <w:r w:rsidRPr="00076137">
        <w:rPr>
          <w:rFonts w:asciiTheme="majorHAnsi" w:hAnsiTheme="majorHAnsi"/>
        </w:rPr>
        <w:t xml:space="preserve"> and </w:t>
      </w:r>
      <w:r w:rsidRPr="00076137">
        <w:rPr>
          <w:rFonts w:asciiTheme="majorHAnsi" w:hAnsiTheme="majorHAnsi"/>
          <w:i/>
        </w:rPr>
        <w:t>Recoveries and Reconstructions Australia</w:t>
      </w:r>
      <w:r w:rsidRPr="00076137">
        <w:rPr>
          <w:rFonts w:asciiTheme="majorHAnsi" w:hAnsiTheme="majorHAnsi"/>
        </w:rPr>
        <w:t>. The annual target for KPI 3.2 has now been met at the nine-month point.</w:t>
      </w:r>
    </w:p>
    <w:p w14:paraId="72851180" w14:textId="77777777" w:rsidR="005B5C58" w:rsidRPr="007833EA" w:rsidRDefault="005B5C58" w:rsidP="00333144">
      <w:pPr>
        <w:pStyle w:val="Heading2"/>
      </w:pPr>
      <w:r w:rsidRPr="002E2758">
        <w:rPr>
          <w:sz w:val="24"/>
        </w:rPr>
        <w:br w:type="page"/>
      </w:r>
      <w:r w:rsidRPr="007833EA">
        <w:t>Successful call connections (by inbound call service type)</w:t>
      </w:r>
    </w:p>
    <w:p w14:paraId="72851181" w14:textId="77777777" w:rsidR="005B5C58" w:rsidRPr="00076137" w:rsidRDefault="005B5C58" w:rsidP="00076137">
      <w:pPr>
        <w:rPr>
          <w:rFonts w:asciiTheme="majorHAnsi" w:hAnsiTheme="majorHAnsi"/>
        </w:rPr>
      </w:pPr>
      <w:r w:rsidRPr="00076137">
        <w:rPr>
          <w:rFonts w:asciiTheme="majorHAnsi" w:hAnsiTheme="majorHAnsi"/>
        </w:rPr>
        <w:t>Inbound connections are made by users of the relay service – either someone with a hearing and/or speech impairment or someone wishing to contact a person with such an impairment.</w:t>
      </w:r>
    </w:p>
    <w:p w14:paraId="72851182" w14:textId="75A0549F" w:rsidR="005B5C58" w:rsidRPr="00076137" w:rsidRDefault="005B5C58" w:rsidP="00076137">
      <w:pPr>
        <w:rPr>
          <w:rFonts w:asciiTheme="majorHAnsi" w:hAnsiTheme="majorHAnsi"/>
        </w:rPr>
      </w:pPr>
      <w:r w:rsidRPr="00076137">
        <w:rPr>
          <w:rFonts w:asciiTheme="majorHAnsi" w:hAnsiTheme="majorHAnsi"/>
        </w:rPr>
        <w:t xml:space="preserve">The graph below shows a breakdown of the successful call connections for each NRS inbound call service type in Quarters 1, 2 and 3, </w:t>
      </w:r>
      <w:r w:rsidR="0030427B">
        <w:rPr>
          <w:rFonts w:asciiTheme="majorHAnsi" w:hAnsiTheme="majorHAnsi"/>
        </w:rPr>
        <w:t>2015–16</w:t>
      </w:r>
      <w:r w:rsidRPr="00076137">
        <w:rPr>
          <w:rFonts w:asciiTheme="majorHAnsi" w:hAnsiTheme="majorHAnsi"/>
        </w:rPr>
        <w:t>:</w:t>
      </w:r>
    </w:p>
    <w:p w14:paraId="72851183" w14:textId="5F64B941" w:rsidR="005B5C58" w:rsidRDefault="0030427B" w:rsidP="0030427B">
      <w:pPr>
        <w:rPr>
          <w:rFonts w:asciiTheme="majorHAnsi" w:hAnsiTheme="majorHAnsi" w:cs="Arial"/>
          <w:sz w:val="24"/>
          <w:szCs w:val="27"/>
        </w:rPr>
      </w:pPr>
      <w:r>
        <w:rPr>
          <w:noProof/>
          <w:lang w:eastAsia="en-AU"/>
        </w:rPr>
        <w:drawing>
          <wp:inline distT="0" distB="0" distL="0" distR="0" wp14:anchorId="3623D5E5" wp14:editId="5E671BC2">
            <wp:extent cx="5926455" cy="4239260"/>
            <wp:effectExtent l="0" t="0" r="0" b="8890"/>
            <wp:docPr id="4" name="Picture 4" descr="This graph shows a month-on-month breakdown of successful inbound calls for each NRS service access option in quarters 1, 2 and 3 2015-16. &#10;&#10;The service access options listed are:&#10;•  106 Text Emergency Service &#10;•  Captioned relay (web)&#10;•  Captioned relay (handset)&#10;•  Video relay (voice)&#10;•  Video relay&#10;•  SMS (voice)&#10;•  SMS relay&#10;•  Internet relay (app)&#10;•  Internet relay (voice)&#10;•  Internet relay&#10;•  Speak and Listen (app) &#10;•  Speak and Listen (voice)&#10;•  Speak and Listen&#10;•  Other (Modem/CTM/Misprofiled)&#10;•  TTY voice callers&#10;•  TTY – Type and Listen&#10;•  TTY – Type and Read&#10;•  TTY – Speak and Read&#10;&#10;The graph shows that the clear majority of inbound connections were made via the captioned relay handset - a total of 281,157 during quarters 1, 2 and 3. &#10;&#10;By comparison, there were 106,938 successful call connections made via internet relay.&#10;&#10;Across all service types, the number of succussful call connections were spread relatively evenly across each of the three months." title="Number of successful call connections (by inbound call servic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6455" cy="4239260"/>
                    </a:xfrm>
                    <a:prstGeom prst="rect">
                      <a:avLst/>
                    </a:prstGeom>
                  </pic:spPr>
                </pic:pic>
              </a:graphicData>
            </a:graphic>
          </wp:inline>
        </w:drawing>
      </w:r>
    </w:p>
    <w:p w14:paraId="72851184" w14:textId="48929C8A" w:rsidR="005B5C58" w:rsidRPr="00076137" w:rsidRDefault="005B5C58" w:rsidP="00076137">
      <w:pPr>
        <w:rPr>
          <w:rFonts w:asciiTheme="majorHAnsi" w:hAnsiTheme="majorHAnsi"/>
        </w:rPr>
      </w:pPr>
      <w:r w:rsidRPr="00076137">
        <w:rPr>
          <w:rFonts w:asciiTheme="majorHAnsi" w:hAnsiTheme="majorHAnsi"/>
        </w:rPr>
        <w:t xml:space="preserve">203,330 successful inbound connections were made to the NRS in Quarter 3, </w:t>
      </w:r>
      <w:r w:rsidR="0030427B">
        <w:rPr>
          <w:rFonts w:asciiTheme="majorHAnsi" w:hAnsiTheme="majorHAnsi"/>
        </w:rPr>
        <w:t>2015–16</w:t>
      </w:r>
      <w:r w:rsidRPr="00076137">
        <w:rPr>
          <w:rFonts w:asciiTheme="majorHAnsi" w:hAnsiTheme="majorHAnsi"/>
        </w:rPr>
        <w:t xml:space="preserve"> (up 5.07% from 193,518 in Quarter 2). Use of captioned relay and the NRS app by internet relay users continued to grow this quarter, with small reductions in the number of successful connections by most other call types in the same period. More than 50% of all successful connections to the NRS were made by captioned relay handset users in Quarter 3, </w:t>
      </w:r>
      <w:r w:rsidR="0030427B">
        <w:rPr>
          <w:rFonts w:asciiTheme="majorHAnsi" w:hAnsiTheme="majorHAnsi"/>
        </w:rPr>
        <w:t>2015–16</w:t>
      </w:r>
      <w:r w:rsidRPr="00076137">
        <w:rPr>
          <w:rFonts w:asciiTheme="majorHAnsi" w:hAnsiTheme="majorHAnsi"/>
        </w:rPr>
        <w:t>.</w:t>
      </w:r>
    </w:p>
    <w:p w14:paraId="72851186" w14:textId="77777777" w:rsidR="005B5C58" w:rsidRPr="003D09F1" w:rsidRDefault="005B5C58" w:rsidP="00401079">
      <w:pPr>
        <w:pStyle w:val="Heading2"/>
        <w:pageBreakBefore/>
      </w:pPr>
      <w:r w:rsidRPr="003D09F1">
        <w:t>Outbound call minutes relayed (by inbound call type)</w:t>
      </w:r>
    </w:p>
    <w:p w14:paraId="72851187" w14:textId="77777777" w:rsidR="005B5C58" w:rsidRPr="00076137" w:rsidRDefault="005B5C58" w:rsidP="00076137">
      <w:pPr>
        <w:rPr>
          <w:rFonts w:asciiTheme="majorHAnsi" w:hAnsiTheme="majorHAnsi"/>
        </w:rPr>
      </w:pPr>
      <w:r w:rsidRPr="00076137">
        <w:rPr>
          <w:rFonts w:asciiTheme="majorHAnsi" w:hAnsiTheme="majorHAnsi"/>
        </w:rPr>
        <w:t>Outbound calls are placed by the relay service on behalf of users, primarily to businesses, government organisations, friends and family.</w:t>
      </w:r>
    </w:p>
    <w:p w14:paraId="72851188" w14:textId="78967BB5" w:rsidR="005B5C58" w:rsidRDefault="005B5C58" w:rsidP="00076137">
      <w:pPr>
        <w:rPr>
          <w:rFonts w:asciiTheme="majorHAnsi" w:hAnsiTheme="majorHAnsi"/>
        </w:rPr>
      </w:pPr>
      <w:r w:rsidRPr="00076137">
        <w:rPr>
          <w:rFonts w:asciiTheme="majorHAnsi" w:hAnsiTheme="majorHAnsi"/>
        </w:rPr>
        <w:t>The following graph shows a breakdown of the outbound call minutes for each inbound call type in Quarters 1, 2 and 3, 2015</w:t>
      </w:r>
      <w:r w:rsidR="0030427B">
        <w:rPr>
          <w:rFonts w:asciiTheme="majorHAnsi" w:hAnsiTheme="majorHAnsi"/>
        </w:rPr>
        <w:t>–</w:t>
      </w:r>
      <w:r w:rsidRPr="00076137">
        <w:rPr>
          <w:rFonts w:asciiTheme="majorHAnsi" w:hAnsiTheme="majorHAnsi"/>
        </w:rPr>
        <w:t>16:</w:t>
      </w:r>
    </w:p>
    <w:p w14:paraId="285AD6A8" w14:textId="7D4D48C7" w:rsidR="0030427B" w:rsidRPr="00076137" w:rsidRDefault="0030427B" w:rsidP="00076137">
      <w:pPr>
        <w:rPr>
          <w:rFonts w:asciiTheme="majorHAnsi" w:hAnsiTheme="majorHAnsi"/>
        </w:rPr>
      </w:pPr>
      <w:r>
        <w:rPr>
          <w:noProof/>
          <w:lang w:eastAsia="en-AU"/>
        </w:rPr>
        <w:drawing>
          <wp:inline distT="0" distB="0" distL="0" distR="0" wp14:anchorId="18EDE3B9" wp14:editId="5AFF4AB6">
            <wp:extent cx="5926455" cy="4733290"/>
            <wp:effectExtent l="0" t="0" r="0" b="0"/>
            <wp:docPr id="11" name="Picture 11" descr="This graph shows a month-on-month breakdown of the number of call minutes relayed by each of the NRS service access options in Quarters 1, 2 and 3, 2015-16. &#10;&#10;The inbound call types listed are:&#10;•  106 Text Emergency Service &#10;•  Captioned relay (web browser)&#10;•  Captioned relay (handset)&#10;•  Video relay (voice)&#10;•  Video relay&#10;•  SMS relay (voice)&#10;•  SMS relay&#10;•  Internet relay (app)&#10;•  Internet relay (voice)&#10;•  Internet relay&#10;•  Speak and Listen (app)&#10;•  Speak and Listen&#10;•  Other (Modem/CTM/Misprofiled)&#10;•  Voice calls&#10;•  TTY – Type and Listen&#10;•  TTY – Type and Read&#10;•  TTY – Speak and Read&#10;&#10;The graph shows that the majority of call minutes were relayed for Internet Relay users, totalling 1,170,915 call minutes in Quarters 1, 2 and 3, 2015-16. &#10;&#10;By comparison, Captioned Relay handset users accounted for 984,703 relayed call minutes in Quarters 1, 2 and 3, 2015-16. &#10;&#10;Across all call types, the number of relayed call minutes were relatively evenly distributed across each of the three months." title="Number of outbound call minutes relayed by inbound cal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4733290"/>
                    </a:xfrm>
                    <a:prstGeom prst="rect">
                      <a:avLst/>
                    </a:prstGeom>
                  </pic:spPr>
                </pic:pic>
              </a:graphicData>
            </a:graphic>
          </wp:inline>
        </w:drawing>
      </w:r>
    </w:p>
    <w:p w14:paraId="7285118A" w14:textId="16B6B9E2" w:rsidR="005B5C58" w:rsidRPr="00076137" w:rsidRDefault="005B5C58" w:rsidP="00076137">
      <w:pPr>
        <w:rPr>
          <w:rFonts w:asciiTheme="majorHAnsi" w:hAnsiTheme="majorHAnsi"/>
        </w:rPr>
      </w:pPr>
      <w:r w:rsidRPr="00076137">
        <w:rPr>
          <w:rFonts w:asciiTheme="majorHAnsi" w:hAnsiTheme="majorHAnsi"/>
        </w:rPr>
        <w:t>More than 1.23</w:t>
      </w:r>
      <w:r w:rsidR="0030427B">
        <w:rPr>
          <w:rFonts w:asciiTheme="majorHAnsi" w:hAnsiTheme="majorHAnsi"/>
        </w:rPr>
        <w:t> million</w:t>
      </w:r>
      <w:r w:rsidRPr="00076137">
        <w:rPr>
          <w:rFonts w:asciiTheme="majorHAnsi" w:hAnsiTheme="majorHAnsi"/>
        </w:rPr>
        <w:t xml:space="preserve"> call minutes were relayed in Quarter 3, </w:t>
      </w:r>
      <w:r w:rsidR="0030427B">
        <w:rPr>
          <w:rFonts w:asciiTheme="majorHAnsi" w:hAnsiTheme="majorHAnsi"/>
        </w:rPr>
        <w:t>2015–16</w:t>
      </w:r>
      <w:r w:rsidRPr="00076137">
        <w:rPr>
          <w:rFonts w:asciiTheme="majorHAnsi" w:hAnsiTheme="majorHAnsi"/>
        </w:rPr>
        <w:t>, compared to around 1.15</w:t>
      </w:r>
      <w:r w:rsidR="0030427B">
        <w:rPr>
          <w:rFonts w:asciiTheme="majorHAnsi" w:hAnsiTheme="majorHAnsi"/>
        </w:rPr>
        <w:t> million</w:t>
      </w:r>
      <w:r w:rsidRPr="00076137">
        <w:rPr>
          <w:rFonts w:asciiTheme="majorHAnsi" w:hAnsiTheme="majorHAnsi"/>
        </w:rPr>
        <w:t xml:space="preserve"> in the previous quarter. To date, more than 3.52</w:t>
      </w:r>
      <w:r w:rsidR="0030427B">
        <w:rPr>
          <w:rFonts w:asciiTheme="majorHAnsi" w:hAnsiTheme="majorHAnsi"/>
        </w:rPr>
        <w:t> million</w:t>
      </w:r>
      <w:r w:rsidRPr="00076137">
        <w:rPr>
          <w:rFonts w:asciiTheme="majorHAnsi" w:hAnsiTheme="majorHAnsi"/>
        </w:rPr>
        <w:t xml:space="preserve"> calls minutes rel</w:t>
      </w:r>
      <w:r w:rsidR="0030427B">
        <w:rPr>
          <w:rFonts w:asciiTheme="majorHAnsi" w:hAnsiTheme="majorHAnsi"/>
        </w:rPr>
        <w:t>ayed since the start of FY 2015–</w:t>
      </w:r>
      <w:r w:rsidRPr="00076137">
        <w:rPr>
          <w:rFonts w:asciiTheme="majorHAnsi" w:hAnsiTheme="majorHAnsi"/>
        </w:rPr>
        <w:t>16; an increase of 30% when compared to the first 9 months of the previous financial year (2.7</w:t>
      </w:r>
      <w:r w:rsidR="0030427B">
        <w:rPr>
          <w:rFonts w:asciiTheme="majorHAnsi" w:hAnsiTheme="majorHAnsi"/>
        </w:rPr>
        <w:t> million</w:t>
      </w:r>
      <w:r w:rsidRPr="00076137">
        <w:rPr>
          <w:rFonts w:asciiTheme="majorHAnsi" w:hAnsiTheme="majorHAnsi"/>
        </w:rPr>
        <w:t xml:space="preserve"> in the first 9 months of 2014</w:t>
      </w:r>
      <w:r w:rsidR="0030427B">
        <w:rPr>
          <w:rFonts w:asciiTheme="majorHAnsi" w:hAnsiTheme="majorHAnsi"/>
        </w:rPr>
        <w:t>–15).</w:t>
      </w:r>
    </w:p>
    <w:p w14:paraId="7285118C" w14:textId="77777777" w:rsidR="005B5C58" w:rsidRPr="003D09F1" w:rsidRDefault="005B5C58" w:rsidP="00401079">
      <w:pPr>
        <w:pStyle w:val="Heading2"/>
        <w:pageBreakBefore/>
      </w:pPr>
      <w:r w:rsidRPr="003D09F1">
        <w:t>Calls to emergency services relayed by the NRS</w:t>
      </w:r>
    </w:p>
    <w:p w14:paraId="7285118D" w14:textId="77777777" w:rsidR="005B5C58" w:rsidRPr="00076137" w:rsidRDefault="005B5C58" w:rsidP="00076137">
      <w:pPr>
        <w:rPr>
          <w:rFonts w:asciiTheme="majorHAnsi" w:hAnsiTheme="majorHAnsi"/>
        </w:rPr>
      </w:pPr>
      <w:r w:rsidRPr="00076137">
        <w:rPr>
          <w:rFonts w:asciiTheme="majorHAnsi" w:hAnsiTheme="majorHAnsi"/>
        </w:rPr>
        <w:t xml:space="preserve">All NRS calls (except for the video relay service, which has limited operating hours) requiring emergency services are given priority access to a relay officer, before being connected to either a Triple Zero operator or directly to the appropriate emergency service organisation. </w:t>
      </w:r>
    </w:p>
    <w:p w14:paraId="7285118E" w14:textId="77777777" w:rsidR="005B5C58" w:rsidRPr="00076137" w:rsidRDefault="005B5C58" w:rsidP="00076137">
      <w:pPr>
        <w:rPr>
          <w:rFonts w:asciiTheme="majorHAnsi" w:hAnsiTheme="majorHAnsi"/>
        </w:rPr>
      </w:pPr>
      <w:r w:rsidRPr="00076137">
        <w:rPr>
          <w:rFonts w:asciiTheme="majorHAnsi" w:hAnsiTheme="majorHAnsi"/>
        </w:rPr>
        <w:t>The chart below illustrates a proportional breakdown of the ways NRS users accessed emergency services in the period between 1 July 2015 and 31 March 2016:</w:t>
      </w:r>
    </w:p>
    <w:p w14:paraId="527F6007" w14:textId="3A483163" w:rsidR="000872DC" w:rsidRDefault="000872DC" w:rsidP="0030427B">
      <w:pPr>
        <w:rPr>
          <w:rFonts w:asciiTheme="majorHAnsi" w:hAnsiTheme="majorHAnsi" w:cs="Arial"/>
          <w:sz w:val="24"/>
          <w:szCs w:val="27"/>
        </w:rPr>
      </w:pPr>
      <w:r>
        <w:rPr>
          <w:noProof/>
          <w:lang w:eastAsia="en-AU"/>
        </w:rPr>
        <w:drawing>
          <wp:inline distT="0" distB="0" distL="0" distR="0" wp14:anchorId="7E9B7D66" wp14:editId="2FA104FE">
            <wp:extent cx="5926455" cy="5011420"/>
            <wp:effectExtent l="0" t="0" r="0" b="0"/>
            <wp:docPr id="14" name="Picture 14" descr="This pie chart shows the percentage breakdown of calls to emergency service organisations for each inbound call type during quarters 1, 2 and 3, 2015-16. &#10;&#10;The service options shown are:&#10;•  TTY users to 106&#10;•  TTY users to Triple Zero&#10;•  SMS relay users to Triple Zero&#10;•  Internet relay web browser users to Triple Zero&#10;•  Internet relay app users to Triple Zero&#10;•  Captioned relay users to Triple Zero&#10;•  Speak and Listen users to Triple Zero&#10;•  Speak and Listen App users to Triple Zero&#10;•  Video relay users to Triple Zero&#10;&#10;SMS relay, internet relay and captioned relay calls together accounted for just over 70 per cent of calls to emergency services in quarters 1, 2 and 3, 2015-16." title="Calls to Emergency Services 1 July 2015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5011420"/>
                    </a:xfrm>
                    <a:prstGeom prst="rect">
                      <a:avLst/>
                    </a:prstGeom>
                  </pic:spPr>
                </pic:pic>
              </a:graphicData>
            </a:graphic>
          </wp:inline>
        </w:drawing>
      </w:r>
    </w:p>
    <w:p w14:paraId="72851190" w14:textId="6F5FCD2E" w:rsidR="005B5C58" w:rsidRPr="00076137" w:rsidRDefault="005B5C58" w:rsidP="00076137">
      <w:pPr>
        <w:rPr>
          <w:rFonts w:asciiTheme="majorHAnsi" w:hAnsiTheme="majorHAnsi"/>
        </w:rPr>
      </w:pPr>
      <w:r w:rsidRPr="00076137">
        <w:rPr>
          <w:rFonts w:asciiTheme="majorHAnsi" w:hAnsiTheme="majorHAnsi"/>
        </w:rPr>
        <w:t>The number of calls to emergency services via the NRS decreased slightly in Quarter 3, 2015</w:t>
      </w:r>
      <w:r w:rsidR="0030427B">
        <w:rPr>
          <w:rFonts w:asciiTheme="majorHAnsi" w:hAnsiTheme="majorHAnsi"/>
        </w:rPr>
        <w:t>–</w:t>
      </w:r>
      <w:r w:rsidRPr="00076137">
        <w:rPr>
          <w:rFonts w:asciiTheme="majorHAnsi" w:hAnsiTheme="majorHAnsi"/>
        </w:rPr>
        <w:t>16 with a total of 267 genuine calls, compared to 287 in Quarter 2.</w:t>
      </w:r>
      <w:r w:rsidR="0030427B">
        <w:rPr>
          <w:rFonts w:asciiTheme="majorHAnsi" w:hAnsiTheme="majorHAnsi"/>
        </w:rPr>
        <w:t xml:space="preserve"> </w:t>
      </w:r>
      <w:r w:rsidRPr="00076137">
        <w:rPr>
          <w:rFonts w:asciiTheme="majorHAnsi" w:hAnsiTheme="majorHAnsi"/>
        </w:rPr>
        <w:t xml:space="preserve">SMS relay was the most used option, with a total of 80 genuine calls made via this service access option. This represents 30% of all calls to emergency services during the quarter. More than 70% of all calls were made via internet relay, SMS relay and captioned relay, with calls by </w:t>
      </w:r>
      <w:r w:rsidR="0030427B">
        <w:rPr>
          <w:rFonts w:asciiTheme="majorHAnsi" w:hAnsiTheme="majorHAnsi"/>
        </w:rPr>
        <w:t>TTY users now less than 1 in 8.</w:t>
      </w:r>
    </w:p>
    <w:p w14:paraId="72851192" w14:textId="77777777" w:rsidR="005B5C58" w:rsidRPr="003D09F1" w:rsidRDefault="005B5C58" w:rsidP="00401079">
      <w:pPr>
        <w:pStyle w:val="Heading2"/>
        <w:pageBreakBefore/>
      </w:pPr>
      <w:r w:rsidRPr="003D09F1">
        <w:t>Helpdesk enquiries</w:t>
      </w:r>
    </w:p>
    <w:p w14:paraId="72851193" w14:textId="77777777" w:rsidR="005B5C58" w:rsidRPr="00076137" w:rsidRDefault="005B5C58" w:rsidP="00076137">
      <w:pPr>
        <w:rPr>
          <w:rFonts w:asciiTheme="majorHAnsi" w:hAnsiTheme="majorHAnsi"/>
        </w:rPr>
      </w:pPr>
      <w:r w:rsidRPr="00076137">
        <w:rPr>
          <w:rFonts w:asciiTheme="majorHAnsi" w:hAnsiTheme="majorHAnsi"/>
        </w:rPr>
        <w:t xml:space="preserve">The outreach service provider provides a helpdesk support function and handles complaints and feedback about the service. </w:t>
      </w:r>
    </w:p>
    <w:p w14:paraId="72851194" w14:textId="50045AD2" w:rsidR="005B5C58" w:rsidRDefault="005B5C58" w:rsidP="00076137">
      <w:pPr>
        <w:rPr>
          <w:rFonts w:asciiTheme="majorHAnsi" w:hAnsiTheme="majorHAnsi"/>
        </w:rPr>
      </w:pPr>
      <w:r w:rsidRPr="00076137">
        <w:rPr>
          <w:rFonts w:asciiTheme="majorHAnsi" w:hAnsiTheme="majorHAnsi"/>
        </w:rPr>
        <w:t>The graph below illustrates a breakdown of the types of helpdesk enquiries received during Quarters 1, 2 and 3, 2015</w:t>
      </w:r>
      <w:r w:rsidR="0030427B">
        <w:rPr>
          <w:rFonts w:asciiTheme="majorHAnsi" w:hAnsiTheme="majorHAnsi"/>
        </w:rPr>
        <w:t>–</w:t>
      </w:r>
      <w:r w:rsidRPr="00076137">
        <w:rPr>
          <w:rFonts w:asciiTheme="majorHAnsi" w:hAnsiTheme="majorHAnsi"/>
        </w:rPr>
        <w:t>16:</w:t>
      </w:r>
    </w:p>
    <w:p w14:paraId="0E78357F" w14:textId="66A77A2E" w:rsidR="0030427B" w:rsidRPr="00076137" w:rsidRDefault="0030427B" w:rsidP="00076137">
      <w:pPr>
        <w:rPr>
          <w:rFonts w:asciiTheme="majorHAnsi" w:hAnsiTheme="majorHAnsi"/>
        </w:rPr>
      </w:pPr>
      <w:r>
        <w:rPr>
          <w:noProof/>
          <w:lang w:eastAsia="en-AU"/>
        </w:rPr>
        <w:drawing>
          <wp:inline distT="0" distB="0" distL="0" distR="0" wp14:anchorId="42071BCA" wp14:editId="28DD0AE4">
            <wp:extent cx="5926455" cy="2660650"/>
            <wp:effectExtent l="0" t="0" r="0" b="6350"/>
            <wp:docPr id="13" name="Picture 13" descr="This graph shows the breakdown of helpdesk enquiries received during quarters 1, 2 and 3, 2015-16. &#10;&#10;The enquiry categories listed are:&#10;•  Complaints&#10;•  Feedback&#10;•  Unwelcome calls&#10;•  Technical support and issue resolution&#10;•  Business introduction and support&#10;•  Client maintenance and support&#10;•  Client introduction&#10;•  Not for NRS&#10;&#10;The graph shows that client introduction, maintenance and support calls, and business introduction and support calls are key functions undertaken by the helpdesk, accounting for 85% of all genuine calls in quarter 3. &#10;&#10;Complaints show a slight increase on quarter 2 figures, representing almost eight per cent of genuine calls to the helpdesk in Quarter 3, 2015-16. &#10;&#10;Non-genuine calls that were not about the provision of the NRS accounted for around 38 per cent of total calls received in the period." title="Helpdesk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2660650"/>
                    </a:xfrm>
                    <a:prstGeom prst="rect">
                      <a:avLst/>
                    </a:prstGeom>
                  </pic:spPr>
                </pic:pic>
              </a:graphicData>
            </a:graphic>
          </wp:inline>
        </w:drawing>
      </w:r>
    </w:p>
    <w:p w14:paraId="72851196" w14:textId="77777777" w:rsidR="005B5C58" w:rsidRPr="000F768B" w:rsidRDefault="005B5C58" w:rsidP="0030427B"/>
    <w:sectPr w:rsidR="005B5C58" w:rsidRPr="000F768B" w:rsidSect="0084603E">
      <w:headerReference w:type="default" r:id="rId17"/>
      <w:footerReference w:type="default" r:id="rId18"/>
      <w:type w:val="continuous"/>
      <w:pgSz w:w="11906" w:h="16838"/>
      <w:pgMar w:top="1702" w:right="1133" w:bottom="1276"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511A4" w14:textId="77777777" w:rsidR="005B5C58" w:rsidRDefault="005B5C58" w:rsidP="003F0A2D">
      <w:pPr>
        <w:spacing w:after="0"/>
      </w:pPr>
      <w:r>
        <w:separator/>
      </w:r>
    </w:p>
  </w:endnote>
  <w:endnote w:type="continuationSeparator" w:id="0">
    <w:p w14:paraId="728511A5" w14:textId="77777777" w:rsidR="005B5C58" w:rsidRDefault="005B5C58"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511A6" w14:textId="77777777" w:rsidR="00297528" w:rsidRDefault="009A56D0" w:rsidP="00297528">
    <w:pPr>
      <w:pStyle w:val="Footer"/>
      <w:ind w:left="-1418"/>
    </w:pPr>
    <w:r>
      <w:rPr>
        <w:noProof/>
        <w:lang w:eastAsia="en-AU"/>
      </w:rPr>
      <w:drawing>
        <wp:inline distT="0" distB="0" distL="0" distR="0" wp14:anchorId="728511AB" wp14:editId="728511AC">
          <wp:extent cx="7550988" cy="721970"/>
          <wp:effectExtent l="0" t="0" r="0" b="2540"/>
          <wp:docPr id="10" name="Picture 10" descr="GPO Box 2154, Canberra ACT 2601 Australia.&#10;Telephone: 02 6271 1000&#10;Web: www.communications.gov.au." title="Address for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ument-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051" cy="73832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511A9" w14:textId="77777777" w:rsidR="00E541EC" w:rsidRDefault="00E541EC" w:rsidP="00E541EC">
    <w:pPr>
      <w:pStyle w:val="Footer"/>
      <w:tabs>
        <w:tab w:val="clear" w:pos="9026"/>
        <w:tab w:val="right" w:pos="9333"/>
      </w:tabs>
      <w:ind w:left="-567"/>
      <w:rPr>
        <w:sz w:val="18"/>
        <w:szCs w:val="18"/>
      </w:rPr>
    </w:pPr>
    <w:r>
      <w:rPr>
        <w:sz w:val="18"/>
        <w:szCs w:val="18"/>
      </w:rPr>
      <w:t>National Relay Service Quarterly Performance Report:</w:t>
    </w:r>
  </w:p>
  <w:p w14:paraId="728511AA" w14:textId="136B4D9C" w:rsidR="00A625B3" w:rsidRPr="000249BC" w:rsidRDefault="00E541EC" w:rsidP="009A56D0">
    <w:pPr>
      <w:pStyle w:val="Footer"/>
      <w:tabs>
        <w:tab w:val="clear" w:pos="9026"/>
        <w:tab w:val="right" w:pos="9333"/>
      </w:tabs>
      <w:ind w:left="-567"/>
      <w:jc w:val="right"/>
      <w:rPr>
        <w:sz w:val="18"/>
        <w:szCs w:val="18"/>
      </w:rPr>
    </w:pPr>
    <w:r>
      <w:rPr>
        <w:sz w:val="18"/>
        <w:szCs w:val="18"/>
      </w:rPr>
      <w:t>Quarter 2015</w:t>
    </w:r>
    <w:r w:rsidR="0030427B">
      <w:rPr>
        <w:sz w:val="18"/>
        <w:szCs w:val="18"/>
      </w:rPr>
      <w:t>–</w:t>
    </w:r>
    <w:r>
      <w:rPr>
        <w:sz w:val="18"/>
        <w:szCs w:val="18"/>
      </w:rPr>
      <w:t>2016</w:t>
    </w:r>
    <w:r w:rsidR="006D014F">
      <w:rPr>
        <w:sz w:val="18"/>
        <w:szCs w:val="18"/>
      </w:rPr>
      <w:tab/>
    </w:r>
    <w:r w:rsidR="006D014F" w:rsidRPr="009A56D0">
      <w:rPr>
        <w:color w:val="07478C"/>
        <w:sz w:val="18"/>
        <w:szCs w:val="18"/>
      </w:rPr>
      <w:t>www.communications.gov.au</w:t>
    </w:r>
    <w:r w:rsidR="00A625B3">
      <w:rPr>
        <w:sz w:val="18"/>
        <w:szCs w:val="18"/>
      </w:rPr>
      <w:tab/>
    </w:r>
    <w:sdt>
      <w:sdtPr>
        <w:rPr>
          <w:sz w:val="18"/>
          <w:szCs w:val="18"/>
        </w:rPr>
        <w:id w:val="-984167973"/>
        <w:docPartObj>
          <w:docPartGallery w:val="Page Numbers (Top of Page)"/>
          <w:docPartUnique/>
        </w:docPartObj>
      </w:sdtPr>
      <w:sdtEndPr/>
      <w:sdtContent>
        <w:r w:rsidR="00A625B3" w:rsidRPr="000249BC">
          <w:rPr>
            <w:sz w:val="18"/>
            <w:szCs w:val="18"/>
          </w:rPr>
          <w:t xml:space="preserve">Page </w:t>
        </w:r>
        <w:r w:rsidR="00A625B3" w:rsidRPr="000249BC">
          <w:rPr>
            <w:bCs/>
            <w:sz w:val="18"/>
            <w:szCs w:val="18"/>
          </w:rPr>
          <w:fldChar w:fldCharType="begin"/>
        </w:r>
        <w:r w:rsidR="00A625B3" w:rsidRPr="000249BC">
          <w:rPr>
            <w:bCs/>
            <w:sz w:val="18"/>
            <w:szCs w:val="18"/>
          </w:rPr>
          <w:instrText xml:space="preserve"> PAGE </w:instrText>
        </w:r>
        <w:r w:rsidR="00A625B3" w:rsidRPr="000249BC">
          <w:rPr>
            <w:bCs/>
            <w:sz w:val="18"/>
            <w:szCs w:val="18"/>
          </w:rPr>
          <w:fldChar w:fldCharType="separate"/>
        </w:r>
        <w:r w:rsidR="00B404E1">
          <w:rPr>
            <w:bCs/>
            <w:noProof/>
            <w:sz w:val="18"/>
            <w:szCs w:val="18"/>
          </w:rPr>
          <w:t>2</w:t>
        </w:r>
        <w:r w:rsidR="00A625B3" w:rsidRPr="000249BC">
          <w:rPr>
            <w:bCs/>
            <w:sz w:val="18"/>
            <w:szCs w:val="18"/>
          </w:rPr>
          <w:fldChar w:fldCharType="end"/>
        </w:r>
        <w:r w:rsidR="00A625B3" w:rsidRPr="000249BC">
          <w:rPr>
            <w:sz w:val="18"/>
            <w:szCs w:val="18"/>
          </w:rPr>
          <w:t xml:space="preserve"> of </w:t>
        </w:r>
        <w:r w:rsidR="00A625B3" w:rsidRPr="000249BC">
          <w:rPr>
            <w:bCs/>
            <w:sz w:val="18"/>
            <w:szCs w:val="18"/>
          </w:rPr>
          <w:fldChar w:fldCharType="begin"/>
        </w:r>
        <w:r w:rsidR="00A625B3" w:rsidRPr="000249BC">
          <w:rPr>
            <w:bCs/>
            <w:sz w:val="18"/>
            <w:szCs w:val="18"/>
          </w:rPr>
          <w:instrText xml:space="preserve"> NUMPAGES  </w:instrText>
        </w:r>
        <w:r w:rsidR="00A625B3" w:rsidRPr="000249BC">
          <w:rPr>
            <w:bCs/>
            <w:sz w:val="18"/>
            <w:szCs w:val="18"/>
          </w:rPr>
          <w:fldChar w:fldCharType="separate"/>
        </w:r>
        <w:r w:rsidR="00B404E1">
          <w:rPr>
            <w:bCs/>
            <w:noProof/>
            <w:sz w:val="18"/>
            <w:szCs w:val="18"/>
          </w:rPr>
          <w:t>11</w:t>
        </w:r>
        <w:r w:rsidR="00A625B3" w:rsidRPr="000249BC">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511A2" w14:textId="77777777" w:rsidR="005B5C58" w:rsidRDefault="005B5C58" w:rsidP="003F0A2D">
      <w:pPr>
        <w:spacing w:after="0"/>
      </w:pPr>
      <w:r>
        <w:separator/>
      </w:r>
    </w:p>
  </w:footnote>
  <w:footnote w:type="continuationSeparator" w:id="0">
    <w:p w14:paraId="728511A3" w14:textId="77777777" w:rsidR="005B5C58" w:rsidRDefault="005B5C58" w:rsidP="003F0A2D">
      <w:pPr>
        <w:spacing w:after="0"/>
      </w:pPr>
      <w:r>
        <w:continuationSeparator/>
      </w:r>
    </w:p>
  </w:footnote>
  <w:footnote w:id="1">
    <w:p w14:paraId="728511AF" w14:textId="7F835C36" w:rsidR="005B5C58" w:rsidRDefault="005B5C58" w:rsidP="005B5C58">
      <w:pPr>
        <w:pStyle w:val="FootnoteText"/>
      </w:pPr>
      <w:r>
        <w:rPr>
          <w:rStyle w:val="FootnoteReference"/>
        </w:rPr>
        <w:footnoteRef/>
      </w:r>
      <w:r>
        <w:t xml:space="preserve"> </w:t>
      </w:r>
      <w:r w:rsidRPr="00AE210C">
        <w:rPr>
          <w:rFonts w:asciiTheme="majorHAnsi" w:hAnsiTheme="majorHAnsi" w:cs="Arial"/>
          <w:bCs/>
          <w:sz w:val="16"/>
          <w:szCs w:val="16"/>
        </w:rPr>
        <w:t xml:space="preserve">Compliance with the call answer time requirements of Service Level 1 could not be determined for the month of November 2015 as Helpdesk call answer time data was not recorded for the period 13-25 November 2015 (9 business days) due to an external </w:t>
      </w:r>
      <w:r w:rsidRPr="00392112">
        <w:rPr>
          <w:rFonts w:asciiTheme="majorHAnsi" w:hAnsiTheme="majorHAnsi" w:cs="Arial"/>
          <w:bCs/>
          <w:sz w:val="16"/>
          <w:szCs w:val="16"/>
        </w:rPr>
        <w:t>system fault. The outreach provider has introduced more frequent monitoring of data collection related to Service Level 1 as a mitigation strategy, following the events in November 2015.</w:t>
      </w:r>
      <w:r w:rsidR="0030427B">
        <w:rPr>
          <w:rFonts w:asciiTheme="majorHAnsi" w:hAnsiTheme="majorHAnsi" w:cs="Arial"/>
          <w:bCs/>
          <w:sz w:val="24"/>
          <w:szCs w:val="27"/>
        </w:rPr>
        <w:t xml:space="preserve"> </w:t>
      </w:r>
    </w:p>
  </w:footnote>
  <w:footnote w:id="2">
    <w:p w14:paraId="728511B0" w14:textId="77777777" w:rsidR="005B5C58" w:rsidRDefault="005B5C58" w:rsidP="005B5C58">
      <w:pPr>
        <w:pStyle w:val="footnote"/>
        <w:rPr>
          <w:rFonts w:ascii="Arial Narrow" w:hAnsi="Arial Narrow"/>
        </w:rPr>
      </w:pPr>
      <w:r>
        <w:rPr>
          <w:rStyle w:val="FootnoteReference"/>
          <w:rFonts w:eastAsiaTheme="majorEastAsia"/>
        </w:rPr>
        <w:footnoteRef/>
      </w:r>
      <w:r>
        <w:t xml:space="preserve"> In the 12 months prior to the commencement of the relevant financial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511A7" w14:textId="77777777" w:rsidR="00A625B3" w:rsidRDefault="00A625B3" w:rsidP="003F0A2D">
    <w:pPr>
      <w:pStyle w:val="Header"/>
      <w:ind w:left="-1418"/>
    </w:pPr>
    <w:r>
      <w:rPr>
        <w:noProof/>
        <w:lang w:eastAsia="en-AU"/>
      </w:rPr>
      <w:drawing>
        <wp:inline distT="0" distB="0" distL="0" distR="0" wp14:anchorId="728511AD" wp14:editId="728511AE">
          <wp:extent cx="7634630" cy="406359"/>
          <wp:effectExtent l="0" t="0" r="0" b="0"/>
          <wp:docPr id="9" name="Picture 9"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8511A8" w14:textId="5BF5E93E" w:rsidR="00A625B3" w:rsidRPr="009A56D0" w:rsidRDefault="00A625B3" w:rsidP="00535ADA">
    <w:pPr>
      <w:pStyle w:val="Header"/>
      <w:tabs>
        <w:tab w:val="clear" w:pos="9026"/>
        <w:tab w:val="right" w:pos="9333"/>
      </w:tabs>
      <w:rPr>
        <w:color w:val="07478C"/>
      </w:rPr>
    </w:pPr>
    <w:r w:rsidRPr="009A56D0">
      <w:rPr>
        <w:color w:val="07478C"/>
      </w:rPr>
      <w:t>Department of Communications and the Arts</w:t>
    </w:r>
    <w:r w:rsidRPr="009A56D0">
      <w:rPr>
        <w:color w:val="07478C"/>
      </w:rPr>
      <w:tab/>
    </w:r>
    <w:r w:rsidRPr="009A56D0">
      <w:rPr>
        <w:color w:val="07478C"/>
      </w:rPr>
      <w:tab/>
    </w:r>
    <w:r w:rsidR="0030427B">
      <w:rPr>
        <w:color w:val="07478C"/>
      </w:rPr>
      <w:t>Quarter 3, 2015–</w:t>
    </w:r>
    <w:r w:rsidR="005B5C58">
      <w:rPr>
        <w:color w:val="07478C"/>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F23DC"/>
    <w:multiLevelType w:val="hybridMultilevel"/>
    <w:tmpl w:val="E7149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7177A6"/>
    <w:multiLevelType w:val="multilevel"/>
    <w:tmpl w:val="C86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F2D20"/>
    <w:multiLevelType w:val="hybridMultilevel"/>
    <w:tmpl w:val="CA689DC2"/>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B2912"/>
    <w:multiLevelType w:val="hybridMultilevel"/>
    <w:tmpl w:val="A38EF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6"/>
  </w:num>
  <w:num w:numId="17">
    <w:abstractNumId w:val="18"/>
  </w:num>
  <w:num w:numId="18">
    <w:abstractNumId w:val="12"/>
  </w:num>
  <w:num w:numId="19">
    <w:abstractNumId w:val="18"/>
  </w:num>
  <w:num w:numId="20">
    <w:abstractNumId w:val="13"/>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58"/>
    <w:rsid w:val="000249BC"/>
    <w:rsid w:val="00076137"/>
    <w:rsid w:val="000872DC"/>
    <w:rsid w:val="00091649"/>
    <w:rsid w:val="000E1A93"/>
    <w:rsid w:val="00155ABE"/>
    <w:rsid w:val="0019073D"/>
    <w:rsid w:val="001F3924"/>
    <w:rsid w:val="0021175E"/>
    <w:rsid w:val="00212772"/>
    <w:rsid w:val="00285881"/>
    <w:rsid w:val="00297528"/>
    <w:rsid w:val="0030427B"/>
    <w:rsid w:val="00333144"/>
    <w:rsid w:val="003509FE"/>
    <w:rsid w:val="00391A40"/>
    <w:rsid w:val="003F0A2D"/>
    <w:rsid w:val="0040012A"/>
    <w:rsid w:val="00401079"/>
    <w:rsid w:val="0040622C"/>
    <w:rsid w:val="00414AC6"/>
    <w:rsid w:val="0045434B"/>
    <w:rsid w:val="0047258C"/>
    <w:rsid w:val="004A5CA1"/>
    <w:rsid w:val="004F3C4E"/>
    <w:rsid w:val="00507E41"/>
    <w:rsid w:val="00535ADA"/>
    <w:rsid w:val="00556638"/>
    <w:rsid w:val="00567FAF"/>
    <w:rsid w:val="005B5C58"/>
    <w:rsid w:val="005F08D5"/>
    <w:rsid w:val="00606BE5"/>
    <w:rsid w:val="00641088"/>
    <w:rsid w:val="0064771D"/>
    <w:rsid w:val="006A19A2"/>
    <w:rsid w:val="006B3774"/>
    <w:rsid w:val="006D014F"/>
    <w:rsid w:val="00704775"/>
    <w:rsid w:val="007C0935"/>
    <w:rsid w:val="00815DD0"/>
    <w:rsid w:val="00832492"/>
    <w:rsid w:val="0084603E"/>
    <w:rsid w:val="00852E5C"/>
    <w:rsid w:val="00853419"/>
    <w:rsid w:val="008A312B"/>
    <w:rsid w:val="008B642A"/>
    <w:rsid w:val="008C6C53"/>
    <w:rsid w:val="00933ABA"/>
    <w:rsid w:val="009A56D0"/>
    <w:rsid w:val="00A25A0B"/>
    <w:rsid w:val="00A625B3"/>
    <w:rsid w:val="00A669A1"/>
    <w:rsid w:val="00A7176A"/>
    <w:rsid w:val="00AA417D"/>
    <w:rsid w:val="00AC66DF"/>
    <w:rsid w:val="00AF277C"/>
    <w:rsid w:val="00B370BC"/>
    <w:rsid w:val="00B404E1"/>
    <w:rsid w:val="00B72C06"/>
    <w:rsid w:val="00BA771A"/>
    <w:rsid w:val="00BC7904"/>
    <w:rsid w:val="00C61D2E"/>
    <w:rsid w:val="00C97AC9"/>
    <w:rsid w:val="00D24D05"/>
    <w:rsid w:val="00D769B5"/>
    <w:rsid w:val="00DB095A"/>
    <w:rsid w:val="00DD4718"/>
    <w:rsid w:val="00E240F8"/>
    <w:rsid w:val="00E52212"/>
    <w:rsid w:val="00E541EC"/>
    <w:rsid w:val="00EA1791"/>
    <w:rsid w:val="00F41896"/>
    <w:rsid w:val="00F729AE"/>
    <w:rsid w:val="00F977DF"/>
    <w:rsid w:val="00FA414F"/>
    <w:rsid w:val="00FB4064"/>
    <w:rsid w:val="00FF1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85102F"/>
  <w15:chartTrackingRefBased/>
  <w15:docId w15:val="{F69AD2EC-9572-45E9-A446-9F4A4048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C61D2E"/>
    <w:pPr>
      <w:keepNext/>
      <w:spacing w:before="30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815D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815DD0"/>
    <w:pPr>
      <w:keepNext/>
      <w:spacing w:before="120" w:after="120"/>
      <w:outlineLvl w:val="2"/>
    </w:pPr>
    <w:rPr>
      <w:rFonts w:asciiTheme="majorHAnsi" w:eastAsiaTheme="majorEastAsia" w:hAnsiTheme="majorHAnsi" w:cstheme="majorBidi"/>
      <w:b/>
      <w:color w:val="07478C"/>
      <w:sz w:val="30"/>
      <w:szCs w:val="24"/>
    </w:rPr>
  </w:style>
  <w:style w:type="paragraph" w:styleId="Heading4">
    <w:name w:val="heading 4"/>
    <w:basedOn w:val="Normal"/>
    <w:next w:val="Normal"/>
    <w:link w:val="Heading4Char"/>
    <w:uiPriority w:val="9"/>
    <w:unhideWhenUsed/>
    <w:qFormat/>
    <w:rsid w:val="0047258C"/>
    <w:pPr>
      <w:keepNext/>
      <w:spacing w:before="120"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semiHidden/>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D2E"/>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815D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815DD0"/>
    <w:rPr>
      <w:rFonts w:asciiTheme="majorHAnsi" w:eastAsiaTheme="majorEastAsia" w:hAnsiTheme="majorHAnsi" w:cstheme="majorBidi"/>
      <w:b/>
      <w:color w:val="07478C"/>
      <w:sz w:val="30"/>
      <w:szCs w:val="24"/>
    </w:rPr>
  </w:style>
  <w:style w:type="paragraph" w:customStyle="1" w:styleId="Bulletlevel1">
    <w:name w:val="Bullet level 1"/>
    <w:basedOn w:val="Normal"/>
    <w:qFormat/>
    <w:rsid w:val="003F0A2D"/>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47258C"/>
    <w:rPr>
      <w:rFonts w:asciiTheme="majorHAnsi" w:eastAsiaTheme="majorEastAsia" w:hAnsiTheme="majorHAnsi" w:cstheme="majorBidi"/>
      <w:b/>
      <w:iCs/>
      <w:color w:val="07478C"/>
      <w:sz w:val="24"/>
    </w:rPr>
  </w:style>
  <w:style w:type="table" w:styleId="TableGrid">
    <w:name w:val="Table Grid"/>
    <w:basedOn w:val="TableNormal"/>
    <w:uiPriority w:val="5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06BE5"/>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semiHidden/>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815DD0"/>
    <w:pPr>
      <w:spacing w:before="120"/>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47258C"/>
    <w:pPr>
      <w:spacing w:before="120" w:after="120"/>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16"/>
      </w:numPr>
      <w:spacing w:before="240" w:after="0"/>
      <w:ind w:left="567" w:hanging="567"/>
    </w:pPr>
  </w:style>
  <w:style w:type="paragraph" w:customStyle="1" w:styleId="Checkboxemptybulletpoint">
    <w:name w:val="Check box empty bullet point"/>
    <w:basedOn w:val="Bulletlevel1"/>
    <w:qFormat/>
    <w:rsid w:val="004F3C4E"/>
    <w:pPr>
      <w:numPr>
        <w:numId w:val="17"/>
      </w:numPr>
      <w:spacing w:after="0"/>
      <w:ind w:left="397" w:hanging="397"/>
    </w:pPr>
  </w:style>
  <w:style w:type="paragraph" w:customStyle="1" w:styleId="StyleHeading3Before12pt">
    <w:name w:val="Style Heading 3 + Before:  12 pt"/>
    <w:basedOn w:val="Heading3"/>
    <w:rsid w:val="00815DD0"/>
    <w:rPr>
      <w:rFonts w:eastAsia="Times New Roman" w:cs="Times New Roman"/>
      <w:bCs/>
      <w:szCs w:val="20"/>
    </w:rPr>
  </w:style>
  <w:style w:type="paragraph" w:styleId="Title">
    <w:name w:val="Title"/>
    <w:basedOn w:val="Normal"/>
    <w:next w:val="Normal"/>
    <w:link w:val="TitleChar"/>
    <w:uiPriority w:val="10"/>
    <w:qFormat/>
    <w:rsid w:val="005B5C58"/>
    <w:pPr>
      <w:spacing w:after="0"/>
      <w:contextualSpacing/>
    </w:pPr>
    <w:rPr>
      <w:rFonts w:asciiTheme="majorHAnsi" w:eastAsiaTheme="majorEastAsia" w:hAnsiTheme="majorHAnsi" w:cstheme="majorBidi"/>
      <w:spacing w:val="-10"/>
      <w:kern w:val="28"/>
      <w:sz w:val="56"/>
      <w:szCs w:val="56"/>
      <w:lang w:eastAsia="en-AU"/>
    </w:rPr>
  </w:style>
  <w:style w:type="character" w:customStyle="1" w:styleId="TitleChar">
    <w:name w:val="Title Char"/>
    <w:basedOn w:val="DefaultParagraphFont"/>
    <w:link w:val="Title"/>
    <w:uiPriority w:val="10"/>
    <w:rsid w:val="005B5C58"/>
    <w:rPr>
      <w:rFonts w:asciiTheme="majorHAnsi" w:eastAsiaTheme="majorEastAsia" w:hAnsiTheme="majorHAnsi" w:cstheme="majorBidi"/>
      <w:spacing w:val="-10"/>
      <w:kern w:val="28"/>
      <w:sz w:val="56"/>
      <w:szCs w:val="56"/>
      <w:lang w:eastAsia="en-AU"/>
    </w:rPr>
  </w:style>
  <w:style w:type="paragraph" w:styleId="Caption">
    <w:name w:val="caption"/>
    <w:basedOn w:val="Normal"/>
    <w:next w:val="Normal"/>
    <w:qFormat/>
    <w:rsid w:val="005B5C58"/>
    <w:pPr>
      <w:shd w:val="clear" w:color="auto" w:fill="FFFFFF"/>
      <w:spacing w:before="240" w:after="100"/>
      <w:ind w:right="450"/>
      <w:outlineLvl w:val="1"/>
    </w:pPr>
    <w:rPr>
      <w:rFonts w:ascii="Verdana" w:eastAsia="Times New Roman" w:hAnsi="Verdana" w:cs="Verdana"/>
      <w:b/>
      <w:bCs/>
      <w:color w:val="000000"/>
      <w:sz w:val="20"/>
      <w:szCs w:val="20"/>
      <w:lang w:eastAsia="en-AU"/>
    </w:rPr>
  </w:style>
  <w:style w:type="paragraph" w:customStyle="1" w:styleId="ExariBodyLeft11">
    <w:name w:val="Exari Body Left 11"/>
    <w:basedOn w:val="Normal"/>
    <w:link w:val="ExariBodyLeft11Char"/>
    <w:uiPriority w:val="99"/>
    <w:rsid w:val="005B5C58"/>
    <w:pPr>
      <w:tabs>
        <w:tab w:val="left" w:pos="576"/>
        <w:tab w:val="left" w:pos="1296"/>
        <w:tab w:val="left" w:pos="2016"/>
      </w:tabs>
      <w:spacing w:before="120"/>
    </w:pPr>
    <w:rPr>
      <w:rFonts w:ascii="Arial" w:eastAsia="Times New Roman" w:hAnsi="Arial" w:cs="Times New Roman"/>
      <w:bCs/>
      <w:sz w:val="24"/>
      <w:szCs w:val="24"/>
      <w:lang w:val="en-GB" w:eastAsia="en-AU"/>
    </w:rPr>
  </w:style>
  <w:style w:type="character" w:customStyle="1" w:styleId="ExariBodyLeft11Char">
    <w:name w:val="Exari Body Left 11 Char"/>
    <w:basedOn w:val="DefaultParagraphFont"/>
    <w:link w:val="ExariBodyLeft11"/>
    <w:uiPriority w:val="99"/>
    <w:locked/>
    <w:rsid w:val="005B5C58"/>
    <w:rPr>
      <w:rFonts w:ascii="Arial" w:eastAsia="Times New Roman" w:hAnsi="Arial" w:cs="Times New Roman"/>
      <w:bCs/>
      <w:sz w:val="24"/>
      <w:szCs w:val="24"/>
      <w:lang w:val="en-GB" w:eastAsia="en-AU"/>
    </w:rPr>
  </w:style>
  <w:style w:type="character" w:customStyle="1" w:styleId="Bold">
    <w:name w:val="Bold"/>
    <w:basedOn w:val="DefaultParagraphFont"/>
    <w:uiPriority w:val="99"/>
    <w:rsid w:val="005B5C58"/>
    <w:rPr>
      <w:rFonts w:cs="Times New Roman"/>
      <w:b/>
      <w:bCs/>
      <w:color w:val="auto"/>
    </w:rPr>
  </w:style>
  <w:style w:type="character" w:styleId="Strong">
    <w:name w:val="Strong"/>
    <w:basedOn w:val="DefaultParagraphFont"/>
    <w:uiPriority w:val="22"/>
    <w:qFormat/>
    <w:rsid w:val="005B5C58"/>
    <w:rPr>
      <w:b/>
      <w:bCs/>
    </w:rPr>
  </w:style>
  <w:style w:type="paragraph" w:customStyle="1" w:styleId="NRSrptBodyText">
    <w:name w:val="NRS rpt Body Text"/>
    <w:basedOn w:val="Normal"/>
    <w:link w:val="NRSrptBodyTextChar"/>
    <w:autoRedefine/>
    <w:uiPriority w:val="99"/>
    <w:qFormat/>
    <w:rsid w:val="005B5C58"/>
    <w:pPr>
      <w:spacing w:before="120" w:after="120" w:line="300" w:lineRule="exact"/>
    </w:pPr>
    <w:rPr>
      <w:rFonts w:eastAsiaTheme="minorEastAsia"/>
      <w:szCs w:val="24"/>
      <w:lang w:eastAsia="en-AU"/>
    </w:rPr>
  </w:style>
  <w:style w:type="character" w:customStyle="1" w:styleId="NRSrptBodyTextChar">
    <w:name w:val="NRS rpt Body Text Char"/>
    <w:basedOn w:val="DefaultParagraphFont"/>
    <w:link w:val="NRSrptBodyText"/>
    <w:uiPriority w:val="99"/>
    <w:rsid w:val="005B5C58"/>
    <w:rPr>
      <w:rFonts w:eastAsiaTheme="minorEastAsia"/>
      <w:szCs w:val="24"/>
      <w:lang w:eastAsia="en-AU"/>
    </w:rPr>
  </w:style>
  <w:style w:type="paragraph" w:customStyle="1" w:styleId="Default">
    <w:name w:val="Default"/>
    <w:rsid w:val="005B5C58"/>
    <w:pPr>
      <w:autoSpaceDE w:val="0"/>
      <w:autoSpaceDN w:val="0"/>
      <w:adjustRightInd w:val="0"/>
      <w:spacing w:after="0" w:line="240" w:lineRule="auto"/>
    </w:pPr>
    <w:rPr>
      <w:rFonts w:ascii="Calibri" w:hAnsi="Calibri" w:cs="Calibri"/>
      <w:color w:val="000000"/>
      <w:sz w:val="24"/>
      <w:szCs w:val="24"/>
    </w:rPr>
  </w:style>
  <w:style w:type="paragraph" w:customStyle="1" w:styleId="footnote">
    <w:name w:val="footnote"/>
    <w:basedOn w:val="FootnoteText"/>
    <w:link w:val="footnoteChar"/>
    <w:qFormat/>
    <w:rsid w:val="005B5C58"/>
    <w:rPr>
      <w:rFonts w:ascii="Times New Roman" w:eastAsia="Times New Roman" w:hAnsi="Times New Roman" w:cs="Times New Roman"/>
      <w:i/>
      <w:lang w:eastAsia="en-AU"/>
    </w:rPr>
  </w:style>
  <w:style w:type="character" w:customStyle="1" w:styleId="footnoteChar">
    <w:name w:val="footnote Char"/>
    <w:basedOn w:val="FootnoteTextChar"/>
    <w:link w:val="footnote"/>
    <w:rsid w:val="005B5C58"/>
    <w:rPr>
      <w:rFonts w:ascii="Times New Roman" w:eastAsia="Times New Roman" w:hAnsi="Times New Roman" w:cs="Times New Roman"/>
      <w:i/>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CB38EB3E3D7B46BF5B44C62798F612" ma:contentTypeVersion="0" ma:contentTypeDescription="Create a new document." ma:contentTypeScope="" ma:versionID="cff868a5de10912415b0be8ae236708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1B18-5CC7-4B34-A370-60767FA8009A}">
  <ds:schemaRefs>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3.xml><?xml version="1.0" encoding="utf-8"?>
<ds:datastoreItem xmlns:ds="http://schemas.openxmlformats.org/officeDocument/2006/customXml" ds:itemID="{0C3CDC10-D35E-4C8F-B034-2305EEBBE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D2F2745-B2EE-4D09-B63B-A119F71B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11</Pages>
  <Words>1936</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National Relay Service—Quarterly Performance Report</vt:lpstr>
    </vt:vector>
  </TitlesOfParts>
  <Company>Department of Communications</Company>
  <LinksUpToDate>false</LinksUpToDate>
  <CharactersWithSpaces>12952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Relay Service—Quarterly Performance Report</dc:title>
  <dc:subject/>
  <dc:creator>Fox1, Dulcinea</dc:creator>
  <cp:keywords/>
  <dc:description/>
  <cp:lastModifiedBy>Theresa Hall</cp:lastModifiedBy>
  <cp:revision>6</cp:revision>
  <cp:lastPrinted>2016-06-22T04:54:00Z</cp:lastPrinted>
  <dcterms:created xsi:type="dcterms:W3CDTF">2016-06-22T02:10:00Z</dcterms:created>
  <dcterms:modified xsi:type="dcterms:W3CDTF">2016-06-22T04:57:00Z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0x010100A1CB38EB3E3D7B46BF5B44C62798F612</vt:lpwstr>
  </property>
  <property fmtid="{D5CDD505-2E9C-101B-9397-08002B2CF9AE}" pid="3" name="TrimRevisionNumber">
    <vt:i4>2</vt:i4>
  </property>
</Properties>
</file>