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509DA1F7" w:rsidR="00B041CB" w:rsidRPr="00B041CB" w:rsidRDefault="005076ED"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February</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406EE6E6" w:rsidR="009C1ECD" w:rsidRPr="009C1ECD" w:rsidRDefault="005076ED"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February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087B9F">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087B9F">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087B9F">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087B9F">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087B9F">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087B9F">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087B9F">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087B9F">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8.15 percent of emergency calls were answered in five seconds or less. 99.23 percent of emergency calls were answered in ten seconds or less. 1.08 percent of calls were abanonded. 91.41 percent of calls were answered in ten seconds or less. 90.69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050E88C8" w:rsidR="005C3B45" w:rsidRPr="008E534F" w:rsidRDefault="005076ED"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February</w:t>
            </w:r>
            <w:r w:rsidR="0085317C">
              <w:rPr>
                <w:b/>
                <w:sz w:val="22"/>
                <w:szCs w:val="22"/>
              </w:rPr>
              <w:t xml:space="preserve"> </w:t>
            </w:r>
            <w:r w:rsidR="005C3B45">
              <w:rPr>
                <w:b/>
                <w:sz w:val="22"/>
                <w:szCs w:val="22"/>
              </w:rPr>
              <w:t>202</w:t>
            </w:r>
            <w:r w:rsidR="007010A5">
              <w:rPr>
                <w:b/>
                <w:sz w:val="22"/>
                <w:szCs w:val="22"/>
              </w:rPr>
              <w:t>4</w:t>
            </w:r>
          </w:p>
        </w:tc>
      </w:tr>
      <w:tr w:rsidR="005C3B45" w:rsidRPr="00654F9E" w14:paraId="32029777" w14:textId="77777777" w:rsidTr="005C3B45">
        <w:trPr>
          <w:cantSplit/>
        </w:trPr>
        <w:tc>
          <w:tcPr>
            <w:tcW w:w="1571" w:type="pct"/>
          </w:tcPr>
          <w:p w14:paraId="011858C3" w14:textId="77777777" w:rsidR="005C3B45" w:rsidRPr="00EA5EED" w:rsidRDefault="005C3B45" w:rsidP="005C3B45">
            <w:pPr>
              <w:pStyle w:val="Tabletext"/>
              <w:cnfStyle w:val="001000000000" w:firstRow="0" w:lastRow="0" w:firstColumn="1" w:lastColumn="0" w:oddVBand="0" w:evenVBand="0" w:oddHBand="0" w:evenHBand="0" w:firstRowFirstColumn="0" w:firstRowLastColumn="0" w:lastRowFirstColumn="0" w:lastRowLastColumn="0"/>
            </w:pPr>
            <w:r w:rsidRPr="00EA5EED">
              <w:t>Grade of Service 1 106 and 000 emergency</w:t>
            </w:r>
          </w:p>
        </w:tc>
        <w:tc>
          <w:tcPr>
            <w:tcW w:w="2544" w:type="pct"/>
          </w:tcPr>
          <w:p w14:paraId="1E11F46D" w14:textId="77777777" w:rsidR="005C3B45" w:rsidRPr="00EA5EED" w:rsidRDefault="005C3B45" w:rsidP="005C3B45">
            <w:pPr>
              <w:pStyle w:val="Tabletext"/>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2A71194C" w:rsidR="005C3B45" w:rsidRPr="00EA5EED" w:rsidRDefault="00604755" w:rsidP="005C3B45">
            <w:pPr>
              <w:pStyle w:val="Tabletext"/>
              <w:jc w:val="center"/>
            </w:pPr>
            <w:r>
              <w:t>9</w:t>
            </w:r>
            <w:r w:rsidR="005076ED">
              <w:t>8.15</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06683FD8"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076ED">
              <w:t>9.23</w:t>
            </w:r>
            <w:r>
              <w:t>%</w:t>
            </w:r>
          </w:p>
        </w:tc>
      </w:tr>
      <w:tr w:rsidR="005C3B45" w:rsidRPr="00654F9E" w14:paraId="2FEEC908" w14:textId="77777777" w:rsidTr="005C3B45">
        <w:trPr>
          <w:cantSplit/>
        </w:trPr>
        <w:tc>
          <w:tcPr>
            <w:tcW w:w="1571" w:type="pct"/>
          </w:tcPr>
          <w:p w14:paraId="6BD9AF97" w14:textId="77777777" w:rsidR="005C3B45" w:rsidRPr="00EA5EED" w:rsidRDefault="005C3B45" w:rsidP="005C3B45">
            <w:pPr>
              <w:pStyle w:val="Tabletext"/>
              <w:cnfStyle w:val="001000000000" w:firstRow="0" w:lastRow="0" w:firstColumn="1" w:lastColumn="0" w:oddVBand="0" w:evenVBand="0" w:oddHBand="0" w:evenHBand="0" w:firstRowFirstColumn="0" w:firstRowLastColumn="0" w:lastRowFirstColumn="0" w:lastRowLastColumn="0"/>
            </w:pPr>
            <w:r w:rsidRPr="00EA5EED">
              <w:t>Abandon Rate</w:t>
            </w:r>
          </w:p>
        </w:tc>
        <w:tc>
          <w:tcPr>
            <w:tcW w:w="2544" w:type="pct"/>
          </w:tcPr>
          <w:p w14:paraId="19321E8E" w14:textId="77777777" w:rsidR="005C3B45" w:rsidRPr="00EA5EED" w:rsidRDefault="005C3B45" w:rsidP="005C3B45">
            <w:pPr>
              <w:pStyle w:val="Tabletext"/>
            </w:pPr>
            <w:r w:rsidRPr="00EA5EED">
              <w:t xml:space="preserve">No more than 5% of calls answered by a call taker are abandoned after leaving the IVR or being presented to the routing queue. </w:t>
            </w:r>
          </w:p>
        </w:tc>
        <w:tc>
          <w:tcPr>
            <w:tcW w:w="885" w:type="pct"/>
          </w:tcPr>
          <w:p w14:paraId="32CAFA3D" w14:textId="3B39E983" w:rsidR="005C3B45" w:rsidRPr="00EA5EED" w:rsidRDefault="00604755" w:rsidP="005C3B45">
            <w:pPr>
              <w:pStyle w:val="Tabletext"/>
              <w:jc w:val="center"/>
            </w:pPr>
            <w:r>
              <w:t>1.</w:t>
            </w:r>
            <w:r w:rsidR="005076ED">
              <w:t>08</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057ADA65" w:rsidR="005C3B45" w:rsidRPr="00EA5EED" w:rsidRDefault="007010A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076ED">
              <w:t>1.41</w:t>
            </w:r>
            <w:r w:rsidR="005C3B45" w:rsidRPr="0064088C">
              <w:t>%</w:t>
            </w:r>
          </w:p>
        </w:tc>
      </w:tr>
      <w:tr w:rsidR="005C3B45" w:rsidRPr="00654F9E" w14:paraId="7742831D" w14:textId="77777777" w:rsidTr="005C3B45">
        <w:trPr>
          <w:cantSplit/>
        </w:trPr>
        <w:tc>
          <w:tcPr>
            <w:tcW w:w="1571" w:type="pct"/>
          </w:tcPr>
          <w:p w14:paraId="310C36B5" w14:textId="77777777" w:rsidR="005C3B45" w:rsidRPr="00EA5EED" w:rsidDel="00E925BE" w:rsidRDefault="005C3B45" w:rsidP="005C3B45">
            <w:pPr>
              <w:pStyle w:val="Tabletext"/>
              <w:cnfStyle w:val="001000000000" w:firstRow="0" w:lastRow="0" w:firstColumn="1" w:lastColumn="0" w:oddVBand="0" w:evenVBand="0" w:oddHBand="0" w:evenHBand="0" w:firstRowFirstColumn="0" w:firstRowLastColumn="0" w:lastRowFirstColumn="0" w:lastRowLastColumn="0"/>
            </w:pPr>
            <w:r w:rsidRPr="00EA5EED">
              <w:t>Grade of Service 4</w:t>
            </w:r>
          </w:p>
        </w:tc>
        <w:tc>
          <w:tcPr>
            <w:tcW w:w="2544" w:type="pct"/>
          </w:tcPr>
          <w:p w14:paraId="3C9B89F5" w14:textId="21CA05D3" w:rsidR="005C3B45" w:rsidRPr="008A30F7" w:rsidDel="00E925BE" w:rsidRDefault="005C3B45" w:rsidP="005C3B45">
            <w:pPr>
              <w:pStyle w:val="Tabletext"/>
            </w:pPr>
            <w:r w:rsidRPr="00EA5EED">
              <w:t>At least 80% of video relay calls are answered by a call taker within 120 seconds</w:t>
            </w:r>
            <w:r w:rsidR="006F1582">
              <w:t>.</w:t>
            </w:r>
          </w:p>
        </w:tc>
        <w:tc>
          <w:tcPr>
            <w:tcW w:w="885" w:type="pct"/>
          </w:tcPr>
          <w:p w14:paraId="36084B6E" w14:textId="03A84349" w:rsidR="005C3B45" w:rsidRPr="00EA5EED" w:rsidRDefault="00501EA8" w:rsidP="005C3B45">
            <w:pPr>
              <w:pStyle w:val="Tabletext"/>
              <w:jc w:val="center"/>
            </w:pPr>
            <w:r>
              <w:t>9</w:t>
            </w:r>
            <w:r w:rsidR="007010A5">
              <w:t>0.</w:t>
            </w:r>
            <w:r w:rsidR="005076ED">
              <w:t>69</w:t>
            </w:r>
            <w:r w:rsidR="005C3B45">
              <w:t>%</w:t>
            </w:r>
          </w:p>
        </w:tc>
      </w:tr>
    </w:tbl>
    <w:p w14:paraId="4DACECAA" w14:textId="77777777"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3.50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0E555D03" w:rsidR="005C3B45" w:rsidRPr="008E534F" w:rsidRDefault="005076ED"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February</w:t>
            </w:r>
            <w:r w:rsidR="007010A5">
              <w:rPr>
                <w:b/>
                <w:sz w:val="22"/>
                <w:szCs w:val="22"/>
              </w:rPr>
              <w:t xml:space="preserve"> 2024</w:t>
            </w:r>
          </w:p>
        </w:tc>
      </w:tr>
      <w:tr w:rsidR="005C3B45" w:rsidRPr="00654F9E" w14:paraId="6276285F" w14:textId="77777777" w:rsidTr="00F9538A">
        <w:trPr>
          <w:cantSplit/>
        </w:trPr>
        <w:tc>
          <w:tcPr>
            <w:tcW w:w="1571" w:type="pct"/>
          </w:tcPr>
          <w:p w14:paraId="4EC36196" w14:textId="77777777" w:rsidR="005C3B45" w:rsidRPr="00F7301E" w:rsidRDefault="005C3B45" w:rsidP="005C3B45">
            <w:pPr>
              <w:pStyle w:val="Tabletext"/>
              <w:cnfStyle w:val="001000000000" w:firstRow="0" w:lastRow="0" w:firstColumn="1" w:lastColumn="0" w:oddVBand="0" w:evenVBand="0" w:oddHBand="0" w:evenHBand="0" w:firstRowFirstColumn="0" w:firstRowLastColumn="0" w:lastRowFirstColumn="0" w:lastRowLastColumn="0"/>
            </w:pPr>
            <w:r w:rsidRPr="002860E0">
              <w:t>Grade of Service</w:t>
            </w:r>
          </w:p>
        </w:tc>
        <w:tc>
          <w:tcPr>
            <w:tcW w:w="2544" w:type="pct"/>
          </w:tcPr>
          <w:p w14:paraId="3883A81C" w14:textId="2E5901C0" w:rsidR="005C3B45" w:rsidRPr="00F7301E" w:rsidRDefault="005C3B45" w:rsidP="005C3B45">
            <w:pPr>
              <w:pStyle w:val="Tabletext"/>
            </w:pPr>
            <w:r w:rsidRPr="00F7301E">
              <w:t>80% of all telephone calls answered by a call taker within 30 seconds</w:t>
            </w:r>
            <w:r w:rsidR="006F1582">
              <w:t>.</w:t>
            </w:r>
          </w:p>
        </w:tc>
        <w:tc>
          <w:tcPr>
            <w:tcW w:w="885" w:type="pct"/>
          </w:tcPr>
          <w:p w14:paraId="2DD5143D" w14:textId="0A685821" w:rsidR="005C3B45" w:rsidRPr="00F7301E" w:rsidRDefault="005076ED" w:rsidP="005C3B45">
            <w:pPr>
              <w:pStyle w:val="Tabletext"/>
              <w:jc w:val="center"/>
            </w:pPr>
            <w:r>
              <w:t>93.50</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20867CA9" w:rsidR="005C3B45" w:rsidRPr="00833513" w:rsidRDefault="007010A5"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tcW w:w="1571" w:type="pct"/>
          </w:tcPr>
          <w:p w14:paraId="3B46C56C" w14:textId="77777777" w:rsidR="005C3B45" w:rsidRPr="00F7301E" w:rsidRDefault="005C3B45" w:rsidP="005C3B45">
            <w:pPr>
              <w:pStyle w:val="Tabletext"/>
              <w:cnfStyle w:val="001000000000" w:firstRow="0" w:lastRow="0" w:firstColumn="1" w:lastColumn="0" w:oddVBand="0" w:evenVBand="0" w:oddHBand="0" w:evenHBand="0" w:firstRowFirstColumn="0" w:firstRowLastColumn="0" w:lastRowFirstColumn="0" w:lastRowLastColumn="0"/>
            </w:pPr>
            <w:r w:rsidRPr="002860E0">
              <w:t>Contact Resolution</w:t>
            </w:r>
          </w:p>
        </w:tc>
        <w:tc>
          <w:tcPr>
            <w:tcW w:w="2544" w:type="pct"/>
          </w:tcPr>
          <w:p w14:paraId="251093B5" w14:textId="77777777" w:rsidR="005C3B45" w:rsidRPr="00F7301E" w:rsidRDefault="005C3B45" w:rsidP="005C3B45">
            <w:pPr>
              <w:pStyle w:val="Tabletext"/>
            </w:pPr>
            <w:r w:rsidRPr="00F7301E">
              <w:t>Resolve greater than 85% of all enquiries received within 2 business days.</w:t>
            </w:r>
          </w:p>
        </w:tc>
        <w:tc>
          <w:tcPr>
            <w:tcW w:w="885" w:type="pct"/>
          </w:tcPr>
          <w:p w14:paraId="07FF5309" w14:textId="16EE6637" w:rsidR="005C3B45" w:rsidRPr="00833513" w:rsidRDefault="005076ED" w:rsidP="005C3B45">
            <w:pPr>
              <w:pStyle w:val="Tabletext"/>
              <w:jc w:val="center"/>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40 calls, national relay service SMS, 3144 calls, national relay service chat, 3684 calls, national relay service chat app, 3517, voice relay, 68 calls, video relay, 4791 calls, national relay service tele type writer, 1032 calls, total calls, 16276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12003343" w:rsidR="005C3B45" w:rsidRPr="002860E0" w:rsidRDefault="004D1D5B" w:rsidP="005C3B45">
            <w:pPr>
              <w:pStyle w:val="Tabletextcentred0"/>
              <w:cnfStyle w:val="000000000000" w:firstRow="0" w:lastRow="0" w:firstColumn="0" w:lastColumn="0" w:oddVBand="0" w:evenVBand="0" w:oddHBand="0" w:evenHBand="0" w:firstRowFirstColumn="0" w:firstRowLastColumn="0" w:lastRowFirstColumn="0" w:lastRowLastColumn="0"/>
            </w:pPr>
            <w:r>
              <w:t>40</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6687528B" w:rsidR="005C3B45" w:rsidRPr="006F5764" w:rsidRDefault="007010A5" w:rsidP="005C3B45">
            <w:pPr>
              <w:pStyle w:val="Tabletextcentred0"/>
              <w:cnfStyle w:val="000000010000" w:firstRow="0" w:lastRow="0" w:firstColumn="0" w:lastColumn="0" w:oddVBand="0" w:evenVBand="0" w:oddHBand="0" w:evenHBand="1" w:firstRowFirstColumn="0" w:firstRowLastColumn="0" w:lastRowFirstColumn="0" w:lastRowLastColumn="0"/>
            </w:pPr>
            <w:r>
              <w:t>3,1</w:t>
            </w:r>
            <w:r w:rsidR="004D1D5B">
              <w:t>44</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6CE75270"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3,</w:t>
            </w:r>
            <w:r w:rsidR="004D1D5B">
              <w:t>684</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0FAC535D" w:rsidR="005C3B45" w:rsidRDefault="006F0919"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4D1D5B">
              <w:t>517</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0D73779E" w:rsidR="005C3B45" w:rsidRPr="002860E0" w:rsidRDefault="004D1D5B" w:rsidP="005C3B45">
            <w:pPr>
              <w:pStyle w:val="Tabletextcentred0"/>
              <w:cnfStyle w:val="000000000000" w:firstRow="0" w:lastRow="0" w:firstColumn="0" w:lastColumn="0" w:oddVBand="0" w:evenVBand="0" w:oddHBand="0" w:evenHBand="0" w:firstRowFirstColumn="0" w:firstRowLastColumn="0" w:lastRowFirstColumn="0" w:lastRowLastColumn="0"/>
            </w:pPr>
            <w:r>
              <w:t>68</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139FB5CA" w:rsidR="005C3B45" w:rsidRPr="002860E0" w:rsidRDefault="007010A5"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A32707">
              <w:t>791</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46FB448A" w:rsidR="005C3B45" w:rsidRPr="002860E0" w:rsidRDefault="00A32707" w:rsidP="005C3B45">
            <w:pPr>
              <w:pStyle w:val="Tabletextcentred0"/>
              <w:cnfStyle w:val="000000000000" w:firstRow="0" w:lastRow="0" w:firstColumn="0" w:lastColumn="0" w:oddVBand="0" w:evenVBand="0" w:oddHBand="0" w:evenHBand="0" w:firstRowFirstColumn="0" w:firstRowLastColumn="0" w:lastRowFirstColumn="0" w:lastRowLastColumn="0"/>
            </w:pPr>
            <w:r>
              <w:t>1,032</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69CE6317"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7010A5">
              <w:t>6,</w:t>
            </w:r>
            <w:r w:rsidR="00A32707">
              <w:t>276</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15792153"/>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22 calls, national relay service chat, 32 calls, voice relay, 2 calls, video relay, 0 calls, national relay service tele type writer, 7 calls, total calls, 63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bookmarkStart w:id="31" w:name="_GoBack"/>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1A517376" w:rsidR="005C3B45" w:rsidRPr="00757A70" w:rsidRDefault="007010A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r w:rsidR="00A32707">
              <w:rPr>
                <w:lang w:eastAsia="en-AU"/>
              </w:rPr>
              <w:t>2</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4EFB6E40" w:rsidR="005C3B45" w:rsidRPr="00757A70" w:rsidRDefault="00A32707"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32</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77DDB0B" w:rsidR="005C3B45" w:rsidRPr="00757A70" w:rsidRDefault="00A3270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3883DD2B" w:rsidR="005C3B45" w:rsidRPr="00757A70" w:rsidRDefault="00A32707"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348CB924" w:rsidR="005C3B45" w:rsidRPr="006F5764" w:rsidRDefault="00A32707"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7</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60FD8E1B" w:rsidR="005C3B45" w:rsidRPr="007D2AA7" w:rsidRDefault="007010A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6</w:t>
            </w:r>
            <w:r w:rsidR="00A32707">
              <w:t>3</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bookmarkEnd w:id="31"/>
      <w:r w:rsidRPr="00052048">
        <w:t>Helpdesk enquiries</w:t>
      </w:r>
      <w:bookmarkEnd w:id="32"/>
      <w:bookmarkEnd w:id="33"/>
      <w:bookmarkEnd w:id="34"/>
      <w:bookmarkEnd w:id="35"/>
      <w:bookmarkEnd w:id="36"/>
    </w:p>
    <w:p w14:paraId="04275AA2" w14:textId="11EA89E6" w:rsidR="005C3B45" w:rsidRPr="002860E0" w:rsidRDefault="005C3B45" w:rsidP="005C3B45">
      <w:r w:rsidRPr="00480B43">
        <w:t xml:space="preserve">The Helpdesk received </w:t>
      </w:r>
      <w:r w:rsidR="00A32707">
        <w:t>668</w:t>
      </w:r>
      <w:r w:rsidRPr="00480B43">
        <w:t xml:space="preserve"> genuine enquiries for </w:t>
      </w:r>
      <w:r w:rsidR="00A32707">
        <w:t>February</w:t>
      </w:r>
      <w:r w:rsidR="00226FF5">
        <w:t xml:space="preserve"> </w:t>
      </w:r>
      <w:r w:rsidR="00275B78">
        <w:t>202</w:t>
      </w:r>
      <w:r w:rsidR="007010A5">
        <w:t>4</w:t>
      </w:r>
      <w:r w:rsidRPr="00480B43">
        <w:t xml:space="preserve">, including </w:t>
      </w:r>
      <w:r w:rsidR="00A32707">
        <w:t>25</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6FD5B223"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87B9F">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22F7BEC8"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087B9F">
      <w:rPr>
        <w:rFonts w:cs="Segoe UI Light"/>
        <w:noProof/>
        <w:color w:val="001C40"/>
        <w:sz w:val="20"/>
        <w:szCs w:val="20"/>
      </w:rPr>
      <w:t>Table of contents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09DA267E"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087B9F">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6A5D"/>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26FF5"/>
    <w:rsid w:val="00236F1B"/>
    <w:rsid w:val="00247B9C"/>
    <w:rsid w:val="00261FFA"/>
    <w:rsid w:val="00272982"/>
    <w:rsid w:val="00275B78"/>
    <w:rsid w:val="00287C7E"/>
    <w:rsid w:val="002A5AB5"/>
    <w:rsid w:val="002F1A23"/>
    <w:rsid w:val="00300077"/>
    <w:rsid w:val="003022A8"/>
    <w:rsid w:val="00310148"/>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A3207"/>
    <w:rsid w:val="004B0ADA"/>
    <w:rsid w:val="004B47B3"/>
    <w:rsid w:val="004D1D5B"/>
    <w:rsid w:val="004F274A"/>
    <w:rsid w:val="00501EA8"/>
    <w:rsid w:val="005076ED"/>
    <w:rsid w:val="00521544"/>
    <w:rsid w:val="00536D41"/>
    <w:rsid w:val="005413E7"/>
    <w:rsid w:val="0056341D"/>
    <w:rsid w:val="00592508"/>
    <w:rsid w:val="005941FC"/>
    <w:rsid w:val="005C0459"/>
    <w:rsid w:val="005C37D2"/>
    <w:rsid w:val="005C3B45"/>
    <w:rsid w:val="005D038B"/>
    <w:rsid w:val="005E55BD"/>
    <w:rsid w:val="00604755"/>
    <w:rsid w:val="00610225"/>
    <w:rsid w:val="00625718"/>
    <w:rsid w:val="00627E0A"/>
    <w:rsid w:val="00630D43"/>
    <w:rsid w:val="0064088C"/>
    <w:rsid w:val="006452B1"/>
    <w:rsid w:val="006542FA"/>
    <w:rsid w:val="00654F9E"/>
    <w:rsid w:val="00670726"/>
    <w:rsid w:val="00670C59"/>
    <w:rsid w:val="00691FA2"/>
    <w:rsid w:val="006D43C7"/>
    <w:rsid w:val="006E139E"/>
    <w:rsid w:val="006E5952"/>
    <w:rsid w:val="006F0919"/>
    <w:rsid w:val="006F1582"/>
    <w:rsid w:val="007010A5"/>
    <w:rsid w:val="007026D4"/>
    <w:rsid w:val="0071419C"/>
    <w:rsid w:val="00731351"/>
    <w:rsid w:val="00744CD2"/>
    <w:rsid w:val="00772C27"/>
    <w:rsid w:val="00790F25"/>
    <w:rsid w:val="007915AA"/>
    <w:rsid w:val="00793843"/>
    <w:rsid w:val="0079788A"/>
    <w:rsid w:val="007A62C1"/>
    <w:rsid w:val="007B68AB"/>
    <w:rsid w:val="007D3D34"/>
    <w:rsid w:val="00822DBF"/>
    <w:rsid w:val="0085317C"/>
    <w:rsid w:val="008A7B93"/>
    <w:rsid w:val="008B7158"/>
    <w:rsid w:val="008D4156"/>
    <w:rsid w:val="008E534F"/>
    <w:rsid w:val="008F24DE"/>
    <w:rsid w:val="00910DC6"/>
    <w:rsid w:val="00912D17"/>
    <w:rsid w:val="009170B5"/>
    <w:rsid w:val="009276A3"/>
    <w:rsid w:val="009279AE"/>
    <w:rsid w:val="0093410C"/>
    <w:rsid w:val="00935A30"/>
    <w:rsid w:val="00944067"/>
    <w:rsid w:val="00953CCD"/>
    <w:rsid w:val="00985DD5"/>
    <w:rsid w:val="009947D8"/>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41576"/>
    <w:rsid w:val="00F60041"/>
    <w:rsid w:val="00F61FA1"/>
    <w:rsid w:val="00F64657"/>
    <w:rsid w:val="00F814AD"/>
    <w:rsid w:val="00F97422"/>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382F0524-BE65-4D80-BB9E-28D350AF19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5082BB-1453-4C1D-9F02-59679466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4</cp:revision>
  <cp:lastPrinted>2023-07-14T01:53:00Z</cp:lastPrinted>
  <dcterms:created xsi:type="dcterms:W3CDTF">2024-03-22T04:45:00Z</dcterms:created>
  <dcterms:modified xsi:type="dcterms:W3CDTF">2024-03-22T05:09:00Z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