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3CDA6237" w:rsidR="00B041CB" w:rsidRPr="00B041CB" w:rsidRDefault="00AE103C"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October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5B8304A3" w:rsidR="009C1ECD" w:rsidRPr="009C1ECD" w:rsidRDefault="00AE103C"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October</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0E1DA6">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0E1DA6">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0E1DA6">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0E1DA6">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0E1DA6">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0E1DA6">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0E1DA6">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0E1DA6">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0E1DA6">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0E1DA6">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83163746"/>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83163747"/>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7.33 percent of emergency calls were answered in five seconds or less. 97.75 percent of emergency calls were answered in ten seconds or less. 2.34 percent of calls were abanonded. 86.12 percent of calls were answered in ten seconds or less. 83.34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733CAD96" w:rsidR="005C3B45" w:rsidRPr="008E534F" w:rsidRDefault="00AE103C"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October</w:t>
            </w:r>
            <w:r w:rsidR="008C3357">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2F6F2D4E"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8113D">
              <w:t>7.33</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6F63658B"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98113D">
              <w:t>7.75</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791AD474" w:rsidR="005C3B45" w:rsidRPr="00EA5EED" w:rsidRDefault="0098113D" w:rsidP="005C3B45">
            <w:pPr>
              <w:pStyle w:val="Tabletext"/>
              <w:jc w:val="center"/>
              <w:cnfStyle w:val="000000000000" w:firstRow="0" w:lastRow="0" w:firstColumn="0" w:lastColumn="0" w:oddVBand="0" w:evenVBand="0" w:oddHBand="0" w:evenHBand="0" w:firstRowFirstColumn="0" w:firstRowLastColumn="0" w:lastRowFirstColumn="0" w:lastRowLastColumn="0"/>
            </w:pPr>
            <w:r>
              <w:t>2.34</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7CE93A84"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98113D">
              <w:t>6.12</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6C64ACFB" w:rsidR="005C3B45" w:rsidRPr="00EA5EED" w:rsidRDefault="0098113D" w:rsidP="005C3B45">
            <w:pPr>
              <w:pStyle w:val="Tabletext"/>
              <w:jc w:val="center"/>
              <w:cnfStyle w:val="000000000000" w:firstRow="0" w:lastRow="0" w:firstColumn="0" w:lastColumn="0" w:oddVBand="0" w:evenVBand="0" w:oddHBand="0" w:evenHBand="0" w:firstRowFirstColumn="0" w:firstRowLastColumn="0" w:lastRowFirstColumn="0" w:lastRowLastColumn="0"/>
            </w:pPr>
            <w:r>
              <w:t>83.34</w:t>
            </w:r>
            <w:r w:rsidR="005C3B45">
              <w:t>%</w:t>
            </w:r>
          </w:p>
        </w:tc>
      </w:tr>
    </w:tbl>
    <w:p w14:paraId="4DACECAA" w14:textId="77777777" w:rsidR="005C3B45" w:rsidRPr="002860E0" w:rsidRDefault="005C3B45" w:rsidP="005C3B45">
      <w:pPr>
        <w:pStyle w:val="Heading2"/>
      </w:pPr>
      <w:bookmarkStart w:id="13" w:name="_Toc78291573"/>
      <w:bookmarkStart w:id="14" w:name="_Toc183163748"/>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8.13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92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1A1E33D7" w:rsidR="005C3B45" w:rsidRPr="008E534F" w:rsidRDefault="00D43D6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October</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25FEFD4B"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8113D">
              <w:t>8</w:t>
            </w:r>
            <w:r w:rsidR="008F6B94">
              <w:t>.</w:t>
            </w:r>
            <w:r w:rsidR="0098113D">
              <w:t>13</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7228F948" w:rsidR="005C3B45" w:rsidRPr="00833513"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0843BB73"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99.92%</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83163749"/>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20 calls, national relay service SMS, 3335 calls, national relay service chat, 3200 calls, national relay service chat app, 3317, voice relay, 179 calls, video relay, 4096 calls, national relay service tele type writer, 859 calls, total calls, 15006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6B7CB689" w:rsidR="005C3B45" w:rsidRPr="002860E0" w:rsidRDefault="00C0244B" w:rsidP="005C3B45">
            <w:pPr>
              <w:pStyle w:val="Tabletextcentred0"/>
              <w:cnfStyle w:val="000000000000" w:firstRow="0" w:lastRow="0" w:firstColumn="0" w:lastColumn="0" w:oddVBand="0" w:evenVBand="0" w:oddHBand="0" w:evenHBand="0" w:firstRowFirstColumn="0" w:firstRowLastColumn="0" w:lastRowFirstColumn="0" w:lastRowLastColumn="0"/>
            </w:pPr>
            <w:r>
              <w:t>20</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3447D840" w:rsidR="005C3B45" w:rsidRPr="006F5764"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t>335</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40284F7D" w:rsidR="005C3B45" w:rsidRPr="002860E0" w:rsidRDefault="00C0244B" w:rsidP="005C3B45">
            <w:pPr>
              <w:pStyle w:val="Tabletextcentred0"/>
              <w:cnfStyle w:val="000000000000" w:firstRow="0" w:lastRow="0" w:firstColumn="0" w:lastColumn="0" w:oddVBand="0" w:evenVBand="0" w:oddHBand="0" w:evenHBand="0" w:firstRowFirstColumn="0" w:firstRowLastColumn="0" w:lastRowFirstColumn="0" w:lastRowLastColumn="0"/>
            </w:pPr>
            <w:r>
              <w:t>3</w:t>
            </w:r>
            <w:r w:rsidR="00F23026">
              <w:t>,</w:t>
            </w:r>
            <w:r>
              <w:t>200</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2491BF5E"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t>317</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1709868D"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0244B">
              <w:t>79</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71D9686A" w:rsidR="005C3B45" w:rsidRPr="002860E0" w:rsidRDefault="008F6B94"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C0244B">
              <w:t>096</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35A3B687"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8</w:t>
            </w:r>
            <w:r w:rsidR="00C0244B">
              <w:t>59</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747A8322"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C0244B">
              <w:t>5</w:t>
            </w:r>
            <w:r w:rsidR="00F23026">
              <w:t>,</w:t>
            </w:r>
            <w:r w:rsidR="00C0244B">
              <w:t>006</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83163750"/>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29 calls, national relay service chat, 48 calls, voice relay, 7 calls, video relay, 1 calls, national relay service tele type writer, 3 calls, total calls, 88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70808D1" w:rsidR="005C3B45" w:rsidRPr="00757A70" w:rsidRDefault="00310CE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29</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7230D162" w:rsidR="005C3B45" w:rsidRPr="00757A70" w:rsidRDefault="00F55BFE"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r w:rsidR="00310CE5">
              <w:rPr>
                <w:lang w:eastAsia="en-AU"/>
              </w:rPr>
              <w:t>8</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5BFB1264" w:rsidR="005C3B45" w:rsidRPr="00757A70" w:rsidRDefault="00310CE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7</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5D950EFA" w:rsidR="005C3B45" w:rsidRPr="00757A70" w:rsidRDefault="00310CE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71CA445F" w:rsidR="005C3B45" w:rsidRPr="006F5764" w:rsidRDefault="00F55BFE"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220A220F" w:rsidR="005C3B45" w:rsidRPr="007D2AA7" w:rsidRDefault="00310CE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8</w:t>
            </w:r>
            <w:r w:rsidR="006C1740">
              <w:t>8</w:t>
            </w:r>
          </w:p>
        </w:tc>
      </w:tr>
    </w:tbl>
    <w:p w14:paraId="2887FDFB" w14:textId="77777777" w:rsidR="005C3B45" w:rsidRPr="00052048" w:rsidRDefault="005C3B45" w:rsidP="005C3B45">
      <w:pPr>
        <w:pStyle w:val="Heading2"/>
      </w:pPr>
      <w:bookmarkStart w:id="31" w:name="_Toc16692216"/>
      <w:bookmarkStart w:id="32" w:name="_Toc17109637"/>
      <w:bookmarkStart w:id="33" w:name="_Toc24362772"/>
      <w:bookmarkStart w:id="34" w:name="_Toc78291576"/>
      <w:bookmarkStart w:id="35" w:name="_Toc183163751"/>
      <w:r w:rsidRPr="00052048">
        <w:t>Helpdesk enquiries</w:t>
      </w:r>
      <w:bookmarkEnd w:id="31"/>
      <w:bookmarkEnd w:id="32"/>
      <w:bookmarkEnd w:id="33"/>
      <w:bookmarkEnd w:id="34"/>
      <w:bookmarkEnd w:id="35"/>
    </w:p>
    <w:p w14:paraId="04275AA2" w14:textId="673E4A7A" w:rsidR="005C3B45" w:rsidRDefault="005C3B45" w:rsidP="005C3B45">
      <w:r w:rsidRPr="00480B43">
        <w:t xml:space="preserve">The Helpdesk received </w:t>
      </w:r>
      <w:r w:rsidR="00310CE5">
        <w:t>667</w:t>
      </w:r>
      <w:r w:rsidRPr="00480B43">
        <w:t xml:space="preserve"> genuine enquiries for </w:t>
      </w:r>
      <w:r w:rsidR="00310CE5">
        <w:t>October</w:t>
      </w:r>
      <w:r w:rsidR="00226FF5">
        <w:t xml:space="preserve"> </w:t>
      </w:r>
      <w:r w:rsidR="00275B78">
        <w:t>202</w:t>
      </w:r>
      <w:r w:rsidR="007010A5">
        <w:t>4</w:t>
      </w:r>
      <w:r w:rsidRPr="00480B43">
        <w:t xml:space="preserve">, including </w:t>
      </w:r>
      <w:r w:rsidR="00310CE5">
        <w:t>13</w:t>
      </w:r>
      <w:r w:rsidRPr="00480B43">
        <w:t xml:space="preserve"> complaints.</w:t>
      </w:r>
    </w:p>
    <w:p w14:paraId="5BBC1877" w14:textId="60B39C13" w:rsidR="002F40F5" w:rsidRDefault="002F40F5" w:rsidP="002F40F5">
      <w:pPr>
        <w:pStyle w:val="Heading2"/>
      </w:pPr>
      <w:bookmarkStart w:id="36" w:name="_Toc183163752"/>
      <w:r>
        <w:t>Community Engagement Function</w:t>
      </w:r>
      <w:bookmarkEnd w:id="36"/>
    </w:p>
    <w:p w14:paraId="6577688E" w14:textId="2B6A3EAA" w:rsidR="002F40F5" w:rsidRPr="00140D4E" w:rsidRDefault="00902A1D" w:rsidP="002F40F5">
      <w:pPr>
        <w:rPr>
          <w:rFonts w:eastAsia="Times New Roman"/>
        </w:rPr>
      </w:pPr>
      <w:r>
        <w:rPr>
          <w:rFonts w:eastAsia="Times New Roman"/>
        </w:rPr>
        <w:t>Concentrix undertook significant c</w:t>
      </w:r>
      <w:r w:rsidR="002F40F5" w:rsidRPr="00140D4E">
        <w:rPr>
          <w:rFonts w:eastAsia="Times New Roman"/>
        </w:rPr>
        <w:t xml:space="preserve">ommunity </w:t>
      </w:r>
      <w:r>
        <w:rPr>
          <w:rFonts w:eastAsia="Times New Roman"/>
        </w:rPr>
        <w:t>e</w:t>
      </w:r>
      <w:r w:rsidR="002F40F5" w:rsidRPr="00140D4E">
        <w:rPr>
          <w:rFonts w:eastAsia="Times New Roman"/>
        </w:rPr>
        <w:t>ngagement</w:t>
      </w:r>
      <w:r>
        <w:rPr>
          <w:rFonts w:eastAsia="Times New Roman"/>
        </w:rPr>
        <w:t xml:space="preserve"> throughout October, </w:t>
      </w:r>
      <w:bookmarkStart w:id="37" w:name="_GoBack"/>
      <w:bookmarkEnd w:id="37"/>
      <w:r w:rsidR="002F40F5" w:rsidRPr="00140D4E">
        <w:rPr>
          <w:rFonts w:eastAsia="Times New Roman"/>
        </w:rPr>
        <w:t xml:space="preserve">engaging with various sectors </w:t>
      </w:r>
      <w:r>
        <w:rPr>
          <w:rFonts w:eastAsia="Times New Roman"/>
        </w:rPr>
        <w:t xml:space="preserve">and stakeholders </w:t>
      </w:r>
      <w:r w:rsidR="002F40F5" w:rsidRPr="00140D4E">
        <w:rPr>
          <w:rFonts w:eastAsia="Times New Roman"/>
        </w:rPr>
        <w:t>including Services Australia, Deaf Connect, Westpac and Lifeline. The NRS eLearning module has been rolled out to employees of several companies, including Optus, Services Australia and Belong.</w:t>
      </w:r>
    </w:p>
    <w:p w14:paraId="2AEEC234" w14:textId="325E0A0D" w:rsidR="002F40F5" w:rsidRDefault="002F40F5" w:rsidP="002F40F5">
      <w:pPr>
        <w:pStyle w:val="Heading2"/>
      </w:pPr>
      <w:bookmarkStart w:id="38" w:name="_Toc183163753"/>
      <w:r>
        <w:t>User Assistance Function</w:t>
      </w:r>
      <w:bookmarkEnd w:id="38"/>
    </w:p>
    <w:p w14:paraId="5CB457E5" w14:textId="44C60486" w:rsidR="002F40F5" w:rsidRPr="00140D4E" w:rsidRDefault="00902A1D" w:rsidP="002F40F5">
      <w:r>
        <w:rPr>
          <w:rFonts w:eastAsia="Times New Roman"/>
        </w:rPr>
        <w:t>Work is</w:t>
      </w:r>
      <w:r w:rsidR="002F40F5" w:rsidRPr="00140D4E">
        <w:rPr>
          <w:rFonts w:eastAsia="Times New Roman"/>
        </w:rPr>
        <w:t xml:space="preserve"> currently under development as </w:t>
      </w:r>
      <w:r>
        <w:rPr>
          <w:rFonts w:eastAsia="Times New Roman"/>
        </w:rPr>
        <w:t xml:space="preserve">to the introduction of the first element of the </w:t>
      </w:r>
      <w:r w:rsidR="002F40F5" w:rsidRPr="00140D4E">
        <w:rPr>
          <w:rFonts w:eastAsia="Times New Roman"/>
        </w:rPr>
        <w:t>User Assistance Function</w:t>
      </w:r>
      <w:r>
        <w:rPr>
          <w:rFonts w:eastAsia="Times New Roman"/>
        </w:rPr>
        <w:t>, a new element to the NRS introduced as part of the current contract, with the Department and Concentrix meeting to discuss. More information will be made available in due course.</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48775359"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E1DA6">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326A24E5"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E1DA6">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0F8A45E1"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E1DA6">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D583B"/>
    <w:rsid w:val="001E0725"/>
    <w:rsid w:val="001E4471"/>
    <w:rsid w:val="001E7AC4"/>
    <w:rsid w:val="00204A64"/>
    <w:rsid w:val="00217C11"/>
    <w:rsid w:val="00223C5F"/>
    <w:rsid w:val="00226FF5"/>
    <w:rsid w:val="00236F1B"/>
    <w:rsid w:val="00247B9C"/>
    <w:rsid w:val="00261FFA"/>
    <w:rsid w:val="00272982"/>
    <w:rsid w:val="00275B78"/>
    <w:rsid w:val="00287C7E"/>
    <w:rsid w:val="002A5AB5"/>
    <w:rsid w:val="002F1A23"/>
    <w:rsid w:val="002F40F5"/>
    <w:rsid w:val="00300077"/>
    <w:rsid w:val="003022A8"/>
    <w:rsid w:val="00310148"/>
    <w:rsid w:val="00310CE5"/>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D1D5B"/>
    <w:rsid w:val="004F274A"/>
    <w:rsid w:val="00501EA8"/>
    <w:rsid w:val="005076ED"/>
    <w:rsid w:val="00521544"/>
    <w:rsid w:val="00536D41"/>
    <w:rsid w:val="005413E7"/>
    <w:rsid w:val="0056341D"/>
    <w:rsid w:val="0058620A"/>
    <w:rsid w:val="00592508"/>
    <w:rsid w:val="005941FC"/>
    <w:rsid w:val="005C0459"/>
    <w:rsid w:val="005C37D2"/>
    <w:rsid w:val="005C3B45"/>
    <w:rsid w:val="005D038B"/>
    <w:rsid w:val="005E55BD"/>
    <w:rsid w:val="005F14AD"/>
    <w:rsid w:val="00604755"/>
    <w:rsid w:val="00610225"/>
    <w:rsid w:val="00625718"/>
    <w:rsid w:val="00627E0A"/>
    <w:rsid w:val="00630D43"/>
    <w:rsid w:val="0064088C"/>
    <w:rsid w:val="006452B1"/>
    <w:rsid w:val="006542FA"/>
    <w:rsid w:val="00654F9E"/>
    <w:rsid w:val="00670726"/>
    <w:rsid w:val="00670C59"/>
    <w:rsid w:val="00691FA2"/>
    <w:rsid w:val="006C1740"/>
    <w:rsid w:val="006D43C7"/>
    <w:rsid w:val="006E139E"/>
    <w:rsid w:val="006E5952"/>
    <w:rsid w:val="006F0919"/>
    <w:rsid w:val="006F1582"/>
    <w:rsid w:val="007010A5"/>
    <w:rsid w:val="007026D4"/>
    <w:rsid w:val="0071419C"/>
    <w:rsid w:val="00731351"/>
    <w:rsid w:val="00744CD2"/>
    <w:rsid w:val="00772C27"/>
    <w:rsid w:val="00790F25"/>
    <w:rsid w:val="007915AA"/>
    <w:rsid w:val="00793843"/>
    <w:rsid w:val="0079788A"/>
    <w:rsid w:val="007A62C1"/>
    <w:rsid w:val="007B68AB"/>
    <w:rsid w:val="007D3D34"/>
    <w:rsid w:val="0081439F"/>
    <w:rsid w:val="00822DBF"/>
    <w:rsid w:val="0085317C"/>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8113D"/>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103C"/>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4B"/>
    <w:rsid w:val="00C02452"/>
    <w:rsid w:val="00C32353"/>
    <w:rsid w:val="00C36E40"/>
    <w:rsid w:val="00C62177"/>
    <w:rsid w:val="00C7081A"/>
    <w:rsid w:val="00C931EA"/>
    <w:rsid w:val="00CA5147"/>
    <w:rsid w:val="00CB76C9"/>
    <w:rsid w:val="00CD0046"/>
    <w:rsid w:val="00D36B96"/>
    <w:rsid w:val="00D43D65"/>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07C09"/>
    <w:rsid w:val="00F10611"/>
    <w:rsid w:val="00F23026"/>
    <w:rsid w:val="00F41576"/>
    <w:rsid w:val="00F55BFE"/>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382F0524-BE65-4D80-BB9E-28D350AF1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DE92CD-146D-4E24-99C1-DB01805F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2</cp:revision>
  <cp:lastPrinted>2023-07-14T01:53:00Z</cp:lastPrinted>
  <dcterms:created xsi:type="dcterms:W3CDTF">2024-11-28T23:45:00Z</dcterms:created>
  <dcterms:modified xsi:type="dcterms:W3CDTF">2024-11-28T23:45:00Z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